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219848EF"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6C334A">
        <w:rPr>
          <w:b/>
          <w:color w:val="000000" w:themeColor="text1"/>
          <w:sz w:val="24"/>
          <w:szCs w:val="24"/>
        </w:rPr>
        <w:t>8</w:t>
      </w:r>
      <w:r w:rsidRPr="004B4345">
        <w:rPr>
          <w:b/>
          <w:i/>
          <w:noProof/>
          <w:color w:val="000000" w:themeColor="text1"/>
          <w:sz w:val="28"/>
        </w:rPr>
        <w:tab/>
      </w:r>
      <w:r w:rsidR="004B4345" w:rsidRPr="004B4345">
        <w:rPr>
          <w:b/>
          <w:noProof/>
          <w:color w:val="000000" w:themeColor="text1"/>
          <w:sz w:val="24"/>
        </w:rPr>
        <w:t>R4-2</w:t>
      </w:r>
      <w:r w:rsidR="006C334A">
        <w:rPr>
          <w:b/>
          <w:noProof/>
          <w:color w:val="000000" w:themeColor="text1"/>
          <w:sz w:val="24"/>
        </w:rPr>
        <w:t>6</w:t>
      </w:r>
      <w:r w:rsidR="00EA41D8">
        <w:rPr>
          <w:b/>
          <w:noProof/>
          <w:color w:val="000000" w:themeColor="text1"/>
          <w:sz w:val="24"/>
        </w:rPr>
        <w:t>00575</w:t>
      </w:r>
    </w:p>
    <w:p w14:paraId="456F64AD" w14:textId="29915D7A" w:rsidR="00135619" w:rsidRPr="004B4345" w:rsidRDefault="006C334A" w:rsidP="00D309CC">
      <w:pPr>
        <w:tabs>
          <w:tab w:val="left" w:pos="2160"/>
        </w:tabs>
        <w:rPr>
          <w:rFonts w:ascii="Arial" w:hAnsi="Arial" w:cs="Arial"/>
          <w:b/>
          <w:noProof/>
          <w:color w:val="000000" w:themeColor="text1"/>
          <w:szCs w:val="20"/>
          <w:lang w:val="en-GB" w:eastAsia="en-US"/>
        </w:rPr>
      </w:pPr>
      <w:r w:rsidRPr="006C334A">
        <w:rPr>
          <w:rFonts w:ascii="Arial" w:hAnsi="Arial" w:cs="Arial"/>
          <w:b/>
          <w:noProof/>
          <w:color w:val="000000" w:themeColor="text1"/>
          <w:szCs w:val="20"/>
          <w:lang w:val="en-GB" w:eastAsia="en-US"/>
        </w:rPr>
        <w:t>Gothenburg, Sweden, Feb. 09-13, 2026</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13D6F6CE"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w:t>
      </w:r>
      <w:r w:rsidR="002833D5">
        <w:rPr>
          <w:color w:val="000000" w:themeColor="text1"/>
        </w:rPr>
        <w:t>2</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724F0BAC"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w:t>
      </w:r>
      <w:r w:rsidR="006C4C56">
        <w:rPr>
          <w:color w:val="000000" w:themeColor="text1"/>
        </w:rPr>
        <w:t xml:space="preserve">– </w:t>
      </w:r>
      <w:r w:rsidR="002833D5">
        <w:rPr>
          <w:color w:val="000000" w:themeColor="text1"/>
        </w:rPr>
        <w:t>Modulation</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6058AD59" w14:textId="44FF2040" w:rsidR="002833D5" w:rsidRDefault="002833D5" w:rsidP="002833D5">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Pr>
          <w:color w:val="000000" w:themeColor="text1"/>
          <w:sz w:val="20"/>
          <w:szCs w:val="20"/>
          <w:lang w:eastAsia="ja-JP"/>
        </w:rPr>
        <w:t>A WF on 6G system parameters was agreed</w:t>
      </w:r>
      <w:r w:rsidRPr="004B4345">
        <w:rPr>
          <w:color w:val="000000" w:themeColor="text1"/>
          <w:sz w:val="20"/>
          <w:szCs w:val="20"/>
          <w:lang w:eastAsia="ja-JP"/>
        </w:rPr>
        <w:t xml:space="preserve"> [1]</w:t>
      </w:r>
      <w:r>
        <w:rPr>
          <w:color w:val="000000" w:themeColor="text1"/>
          <w:sz w:val="20"/>
          <w:szCs w:val="20"/>
          <w:lang w:eastAsia="ja-JP"/>
        </w:rPr>
        <w:t xml:space="preserve"> at the last meeting</w:t>
      </w:r>
      <w:r w:rsidRPr="004B4345">
        <w:rPr>
          <w:color w:val="000000" w:themeColor="text1"/>
          <w:sz w:val="20"/>
          <w:szCs w:val="20"/>
          <w:lang w:eastAsia="ja-JP"/>
        </w:rPr>
        <w:t xml:space="preserve">, </w:t>
      </w:r>
      <w:r>
        <w:rPr>
          <w:color w:val="000000" w:themeColor="text1"/>
          <w:sz w:val="20"/>
          <w:szCs w:val="20"/>
          <w:lang w:eastAsia="ja-JP"/>
        </w:rPr>
        <w:t>including the following aspects on modulation</w:t>
      </w:r>
      <w:r w:rsidRPr="004B4345">
        <w:rPr>
          <w:color w:val="000000" w:themeColor="text1"/>
          <w:sz w:val="20"/>
          <w:szCs w:val="20"/>
          <w:lang w:eastAsia="ja-JP"/>
        </w:rPr>
        <w:t>:</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9A0207" w14:paraId="72CA340F" w14:textId="77777777" w:rsidTr="008274F4">
        <w:tc>
          <w:tcPr>
            <w:tcW w:w="9631" w:type="dxa"/>
          </w:tcPr>
          <w:p w14:paraId="1F5609E0" w14:textId="77777777" w:rsidR="002833D5" w:rsidRDefault="002833D5" w:rsidP="002833D5">
            <w:pPr>
              <w:pStyle w:val="Heading1"/>
              <w:rPr>
                <w:lang w:val="en-US" w:eastAsia="ja-JP"/>
              </w:rPr>
            </w:pPr>
            <w:r>
              <w:rPr>
                <w:lang w:val="en-US" w:eastAsia="ja-JP"/>
              </w:rPr>
              <w:t>Topic #2: Modulation</w:t>
            </w:r>
          </w:p>
          <w:p w14:paraId="42C5A6EC" w14:textId="77777777" w:rsidR="002833D5" w:rsidRDefault="002833D5" w:rsidP="002833D5">
            <w:pPr>
              <w:pStyle w:val="ListParagraph"/>
              <w:keepNext/>
              <w:keepLines/>
              <w:pBdr>
                <w:top w:val="single" w:sz="12" w:space="3" w:color="auto"/>
              </w:pBdr>
              <w:spacing w:before="240" w:after="180"/>
              <w:ind w:left="10071" w:hanging="432"/>
              <w:contextualSpacing w:val="0"/>
              <w:outlineLvl w:val="0"/>
              <w:rPr>
                <w:rFonts w:ascii="Arial" w:hAnsi="Arial"/>
                <w:vanish/>
                <w:sz w:val="36"/>
                <w:lang w:val="sv-SE"/>
              </w:rPr>
            </w:pPr>
          </w:p>
          <w:p w14:paraId="33A18FB1" w14:textId="77777777" w:rsidR="002833D5" w:rsidRPr="002833D5" w:rsidRDefault="002833D5" w:rsidP="002833D5">
            <w:pPr>
              <w:pStyle w:val="ListParagraph"/>
              <w:numPr>
                <w:ilvl w:val="0"/>
                <w:numId w:val="36"/>
              </w:numPr>
              <w:spacing w:after="120"/>
              <w:ind w:left="720"/>
              <w:contextualSpacing w:val="0"/>
              <w:rPr>
                <w:sz w:val="20"/>
                <w:szCs w:val="20"/>
              </w:rPr>
            </w:pPr>
            <w:r w:rsidRPr="002833D5">
              <w:rPr>
                <w:sz w:val="20"/>
                <w:szCs w:val="20"/>
              </w:rPr>
              <w:t>Recommendation from FL based on inputs for RAN4#117</w:t>
            </w:r>
          </w:p>
          <w:p w14:paraId="5812389D" w14:textId="77777777" w:rsidR="002833D5" w:rsidRPr="002833D5" w:rsidRDefault="002833D5" w:rsidP="002833D5">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2833D5">
              <w:rPr>
                <w:sz w:val="20"/>
                <w:szCs w:val="20"/>
              </w:rPr>
              <w:t>Evaluation Cases:</w:t>
            </w:r>
          </w:p>
          <w:p w14:paraId="4E12CB88" w14:textId="77777777" w:rsidR="002833D5" w:rsidRPr="002833D5" w:rsidRDefault="002833D5" w:rsidP="002833D5">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2833D5">
              <w:rPr>
                <w:sz w:val="20"/>
                <w:szCs w:val="20"/>
              </w:rPr>
              <w:t>Case 1 (Baseline): Existing NR modulations (BPSK to 256QAM) with new 6G PA model(s).</w:t>
            </w:r>
          </w:p>
          <w:p w14:paraId="4216FAD8" w14:textId="77777777" w:rsidR="002833D5" w:rsidRPr="002833D5" w:rsidRDefault="002833D5" w:rsidP="002833D5">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2833D5">
              <w:rPr>
                <w:sz w:val="20"/>
                <w:szCs w:val="20"/>
              </w:rPr>
              <w:t>Case 2 (Higher-order modulation):</w:t>
            </w:r>
          </w:p>
          <w:p w14:paraId="06A21387" w14:textId="77777777" w:rsidR="002833D5" w:rsidRPr="002833D5" w:rsidRDefault="002833D5" w:rsidP="002833D5">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2833D5">
              <w:rPr>
                <w:sz w:val="20"/>
                <w:szCs w:val="20"/>
              </w:rPr>
              <w:t>UL 1024QAM: Primarily focusing on FWA UE implementation feasibility.</w:t>
            </w:r>
          </w:p>
          <w:p w14:paraId="12D3DA78" w14:textId="77777777" w:rsidR="002833D5" w:rsidRPr="002833D5" w:rsidRDefault="002833D5" w:rsidP="002833D5">
            <w:pPr>
              <w:pStyle w:val="ListParagraph"/>
              <w:numPr>
                <w:ilvl w:val="4"/>
                <w:numId w:val="36"/>
              </w:numPr>
              <w:overflowPunct w:val="0"/>
              <w:autoSpaceDE w:val="0"/>
              <w:autoSpaceDN w:val="0"/>
              <w:adjustRightInd w:val="0"/>
              <w:spacing w:after="120"/>
              <w:ind w:left="3816"/>
              <w:contextualSpacing w:val="0"/>
              <w:jc w:val="both"/>
              <w:textAlignment w:val="baseline"/>
              <w:rPr>
                <w:sz w:val="20"/>
                <w:szCs w:val="20"/>
              </w:rPr>
            </w:pPr>
            <w:r w:rsidRPr="002833D5">
              <w:rPr>
                <w:rFonts w:hint="eastAsia"/>
                <w:sz w:val="20"/>
                <w:szCs w:val="20"/>
              </w:rPr>
              <w:t>A</w:t>
            </w:r>
            <w:r w:rsidRPr="002833D5">
              <w:rPr>
                <w:sz w:val="20"/>
                <w:szCs w:val="20"/>
              </w:rPr>
              <w:t>lready agreed to start parallel study in last RAN4 meeting</w:t>
            </w:r>
          </w:p>
          <w:p w14:paraId="6470D873" w14:textId="77777777" w:rsidR="002833D5" w:rsidRPr="002833D5" w:rsidRDefault="002833D5" w:rsidP="002833D5">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2833D5">
              <w:rPr>
                <w:sz w:val="20"/>
                <w:szCs w:val="20"/>
              </w:rPr>
              <w:t>DL 4096QAM: Focusing on both BS and UE implementation feasibility.</w:t>
            </w:r>
          </w:p>
          <w:p w14:paraId="582CB015" w14:textId="77777777" w:rsidR="002833D5" w:rsidRPr="002833D5" w:rsidRDefault="002833D5" w:rsidP="002833D5">
            <w:pPr>
              <w:pStyle w:val="ListParagraph"/>
              <w:numPr>
                <w:ilvl w:val="4"/>
                <w:numId w:val="36"/>
              </w:numPr>
              <w:overflowPunct w:val="0"/>
              <w:autoSpaceDE w:val="0"/>
              <w:autoSpaceDN w:val="0"/>
              <w:adjustRightInd w:val="0"/>
              <w:spacing w:after="120"/>
              <w:ind w:left="3816"/>
              <w:contextualSpacing w:val="0"/>
              <w:jc w:val="both"/>
              <w:textAlignment w:val="baseline"/>
              <w:rPr>
                <w:sz w:val="20"/>
                <w:szCs w:val="20"/>
              </w:rPr>
            </w:pPr>
            <w:r w:rsidRPr="002833D5">
              <w:rPr>
                <w:sz w:val="20"/>
                <w:szCs w:val="20"/>
              </w:rPr>
              <w:t>Whether and when to consider it as an optional feature for study, pending on further RAN4 discussion and decision</w:t>
            </w:r>
          </w:p>
          <w:p w14:paraId="456BFC95" w14:textId="77777777" w:rsidR="002833D5" w:rsidRPr="002833D5" w:rsidRDefault="002833D5" w:rsidP="002833D5">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2833D5">
              <w:rPr>
                <w:sz w:val="20"/>
                <w:szCs w:val="20"/>
              </w:rPr>
              <w:t xml:space="preserve">Case 3 (Constellation shaping): Defer detailed evaluation until RAN1 conclusions are stable. </w:t>
            </w:r>
          </w:p>
          <w:p w14:paraId="5AC5A9A2" w14:textId="77777777" w:rsidR="002833D5" w:rsidRPr="002833D5" w:rsidRDefault="002833D5" w:rsidP="002833D5">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2833D5">
              <w:rPr>
                <w:sz w:val="20"/>
                <w:szCs w:val="20"/>
              </w:rPr>
              <w:t>Evaluation assumptions:</w:t>
            </w:r>
          </w:p>
          <w:p w14:paraId="6C098CF5" w14:textId="77777777" w:rsidR="002833D5" w:rsidRPr="002833D5" w:rsidRDefault="002833D5" w:rsidP="002833D5">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2833D5">
              <w:rPr>
                <w:sz w:val="20"/>
                <w:szCs w:val="20"/>
              </w:rPr>
              <w:t>PA Model: Depends on the discussion progress on 6G PA model. This is a foundational assumption for all modulation studies.</w:t>
            </w:r>
          </w:p>
          <w:p w14:paraId="45717C6E" w14:textId="77777777" w:rsidR="002833D5" w:rsidRPr="002833D5" w:rsidRDefault="002833D5" w:rsidP="002833D5">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2833D5">
              <w:rPr>
                <w:sz w:val="20"/>
                <w:szCs w:val="20"/>
              </w:rPr>
              <w:t xml:space="preserve">EVM budget: Define a clear EVM budget for higher order modulation (UL 1024QAM, DL 4096QAM), considering all impairment sources (PA non-linearity, I/Q imbalance, phase noise, CFR, etc.). </w:t>
            </w:r>
          </w:p>
          <w:p w14:paraId="2DBF5151" w14:textId="77777777" w:rsidR="002833D5" w:rsidRPr="002833D5" w:rsidRDefault="002833D5" w:rsidP="002833D5">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2833D5">
              <w:rPr>
                <w:sz w:val="20"/>
                <w:szCs w:val="20"/>
              </w:rPr>
              <w:t>Scenarios and frequencies: Focus evaluations on agreed scenarios (TBD, like Urban Macro and indoor hotspot), across agreed frequencies (TBD, like ~700 MHz, 2 GHz, and 7 GHz).</w:t>
            </w:r>
          </w:p>
          <w:p w14:paraId="1F9F6399" w14:textId="77777777" w:rsidR="002833D5" w:rsidRPr="002833D5" w:rsidRDefault="002833D5" w:rsidP="002833D5">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2833D5">
              <w:rPr>
                <w:sz w:val="20"/>
                <w:szCs w:val="20"/>
              </w:rPr>
              <w:t>Bandwidth: Consider wider channel bandwidths (TBD, e.g., 200 MHz)</w:t>
            </w:r>
          </w:p>
          <w:p w14:paraId="40BCAFE3" w14:textId="77777777" w:rsidR="002833D5" w:rsidRPr="002833D5" w:rsidRDefault="002833D5" w:rsidP="002833D5">
            <w:pPr>
              <w:pStyle w:val="ListParagraph"/>
              <w:numPr>
                <w:ilvl w:val="0"/>
                <w:numId w:val="36"/>
              </w:numPr>
              <w:spacing w:after="120"/>
              <w:ind w:left="720"/>
              <w:contextualSpacing w:val="0"/>
              <w:rPr>
                <w:sz w:val="20"/>
                <w:szCs w:val="20"/>
              </w:rPr>
            </w:pPr>
            <w:r w:rsidRPr="002833D5">
              <w:rPr>
                <w:sz w:val="20"/>
                <w:szCs w:val="20"/>
              </w:rPr>
              <w:t xml:space="preserve">WF </w:t>
            </w:r>
          </w:p>
          <w:p w14:paraId="21B45FFF" w14:textId="77777777" w:rsidR="002833D5" w:rsidRPr="002833D5" w:rsidRDefault="002833D5" w:rsidP="002833D5">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2833D5">
              <w:rPr>
                <w:rFonts w:hint="eastAsia"/>
                <w:sz w:val="20"/>
                <w:szCs w:val="20"/>
              </w:rPr>
              <w:t>F</w:t>
            </w:r>
            <w:r w:rsidRPr="002833D5">
              <w:rPr>
                <w:sz w:val="20"/>
                <w:szCs w:val="20"/>
              </w:rPr>
              <w:t>FS in next meeting</w:t>
            </w:r>
          </w:p>
          <w:p w14:paraId="337D8E55" w14:textId="5BF69F9C" w:rsidR="009A0207" w:rsidRPr="007D73F5" w:rsidRDefault="009A0207" w:rsidP="007D73F5">
            <w:pPr>
              <w:rPr>
                <w:rFonts w:eastAsia="Batang"/>
                <w:sz w:val="20"/>
                <w:szCs w:val="20"/>
              </w:rPr>
            </w:pPr>
          </w:p>
        </w:tc>
      </w:tr>
    </w:tbl>
    <w:p w14:paraId="2C63A2BF" w14:textId="77777777" w:rsidR="002833D5" w:rsidRDefault="002833D5" w:rsidP="00CD18B1">
      <w:pPr>
        <w:pStyle w:val="B1"/>
        <w:overflowPunct w:val="0"/>
        <w:autoSpaceDE w:val="0"/>
        <w:autoSpaceDN w:val="0"/>
        <w:adjustRightInd w:val="0"/>
        <w:spacing w:before="180" w:after="180"/>
        <w:ind w:left="0" w:firstLine="0"/>
        <w:textAlignment w:val="baseline"/>
        <w:rPr>
          <w:color w:val="000000" w:themeColor="text1"/>
          <w:sz w:val="20"/>
          <w:szCs w:val="20"/>
        </w:rPr>
      </w:pPr>
    </w:p>
    <w:p w14:paraId="57129C7D" w14:textId="0A8506D4" w:rsidR="002833D5" w:rsidRDefault="002833D5"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this contribution, we </w:t>
      </w:r>
      <w:r>
        <w:rPr>
          <w:color w:val="000000" w:themeColor="text1"/>
          <w:sz w:val="20"/>
          <w:szCs w:val="20"/>
        </w:rPr>
        <w:t>continue the discussion on modulation based on the WF above.</w:t>
      </w:r>
    </w:p>
    <w:p w14:paraId="1AE33D40" w14:textId="21E38D06" w:rsidR="004E7F50" w:rsidRPr="009670D0" w:rsidRDefault="008E7986" w:rsidP="009670D0">
      <w:pPr>
        <w:pStyle w:val="Heading1"/>
        <w:rPr>
          <w:color w:val="000000" w:themeColor="text1"/>
        </w:rPr>
      </w:pPr>
      <w:r w:rsidRPr="004B4345">
        <w:rPr>
          <w:color w:val="000000" w:themeColor="text1"/>
        </w:rPr>
        <w:lastRenderedPageBreak/>
        <w:t>2</w:t>
      </w:r>
      <w:r w:rsidRPr="004B4345">
        <w:rPr>
          <w:color w:val="000000" w:themeColor="text1"/>
        </w:rPr>
        <w:tab/>
      </w:r>
      <w:r w:rsidR="0077432F" w:rsidRPr="004B4345">
        <w:rPr>
          <w:color w:val="000000" w:themeColor="text1"/>
        </w:rPr>
        <w:t>Discussion</w:t>
      </w:r>
    </w:p>
    <w:p w14:paraId="58CD0D4F" w14:textId="77777777" w:rsidR="00097885" w:rsidRDefault="00097885" w:rsidP="00DF2E90">
      <w:pPr>
        <w:autoSpaceDE w:val="0"/>
        <w:autoSpaceDN w:val="0"/>
        <w:adjustRightInd w:val="0"/>
        <w:jc w:val="both"/>
        <w:rPr>
          <w:color w:val="000000" w:themeColor="text1"/>
          <w:sz w:val="20"/>
          <w:szCs w:val="20"/>
        </w:rPr>
      </w:pPr>
    </w:p>
    <w:p w14:paraId="517AF9E5" w14:textId="54654CB0" w:rsidR="0032477F" w:rsidRPr="002821E7" w:rsidRDefault="0032477F" w:rsidP="0032477F">
      <w:pPr>
        <w:pStyle w:val="Heading2"/>
      </w:pPr>
      <w:r>
        <w:t>2.1 6G baseline</w:t>
      </w:r>
    </w:p>
    <w:p w14:paraId="3157ACC3" w14:textId="1454F4B0" w:rsidR="0032477F" w:rsidRDefault="0032477F" w:rsidP="0032477F">
      <w:pPr>
        <w:autoSpaceDE w:val="0"/>
        <w:autoSpaceDN w:val="0"/>
        <w:adjustRightInd w:val="0"/>
        <w:jc w:val="both"/>
        <w:rPr>
          <w:color w:val="000000" w:themeColor="text1"/>
          <w:sz w:val="20"/>
          <w:szCs w:val="20"/>
        </w:rPr>
      </w:pPr>
      <w:r>
        <w:rPr>
          <w:color w:val="000000" w:themeColor="text1"/>
          <w:sz w:val="20"/>
          <w:szCs w:val="20"/>
        </w:rPr>
        <w:t xml:space="preserve">We propose to consider the </w:t>
      </w:r>
      <w:r w:rsidR="004B380E">
        <w:rPr>
          <w:color w:val="000000" w:themeColor="text1"/>
          <w:sz w:val="20"/>
          <w:szCs w:val="20"/>
        </w:rPr>
        <w:t xml:space="preserve">existing 5G modulation schemes </w:t>
      </w:r>
      <w:r>
        <w:rPr>
          <w:color w:val="000000" w:themeColor="text1"/>
          <w:sz w:val="20"/>
          <w:szCs w:val="20"/>
        </w:rPr>
        <w:t>as a starting point for 6G</w:t>
      </w:r>
      <w:r w:rsidR="004B380E">
        <w:rPr>
          <w:color w:val="000000" w:themeColor="text1"/>
          <w:sz w:val="20"/>
          <w:szCs w:val="20"/>
        </w:rPr>
        <w:t>, because they have been evaluated from the standpoint of both performance gain and implementation feasibility</w:t>
      </w:r>
      <w:r>
        <w:rPr>
          <w:color w:val="000000" w:themeColor="text1"/>
          <w:sz w:val="20"/>
          <w:szCs w:val="20"/>
        </w:rPr>
        <w:t>:</w:t>
      </w:r>
    </w:p>
    <w:p w14:paraId="0B8B7F19" w14:textId="77777777" w:rsidR="0032477F" w:rsidRPr="008F490D" w:rsidRDefault="0032477F" w:rsidP="0032477F">
      <w:pPr>
        <w:pStyle w:val="ListParagraph"/>
        <w:numPr>
          <w:ilvl w:val="0"/>
          <w:numId w:val="51"/>
        </w:numPr>
        <w:autoSpaceDE w:val="0"/>
        <w:autoSpaceDN w:val="0"/>
        <w:adjustRightInd w:val="0"/>
        <w:jc w:val="both"/>
        <w:rPr>
          <w:color w:val="000000" w:themeColor="text1"/>
          <w:sz w:val="20"/>
          <w:szCs w:val="20"/>
        </w:rPr>
      </w:pPr>
      <w:r w:rsidRPr="008F490D">
        <w:rPr>
          <w:color w:val="000000" w:themeColor="text1"/>
          <w:sz w:val="20"/>
          <w:szCs w:val="20"/>
        </w:rPr>
        <w:t>UL: up to 256 QAM</w:t>
      </w:r>
    </w:p>
    <w:p w14:paraId="019795C9" w14:textId="77777777" w:rsidR="0032477F" w:rsidRPr="008F490D" w:rsidRDefault="0032477F" w:rsidP="0032477F">
      <w:pPr>
        <w:pStyle w:val="ListParagraph"/>
        <w:numPr>
          <w:ilvl w:val="0"/>
          <w:numId w:val="51"/>
        </w:numPr>
        <w:autoSpaceDE w:val="0"/>
        <w:autoSpaceDN w:val="0"/>
        <w:adjustRightInd w:val="0"/>
        <w:jc w:val="both"/>
        <w:rPr>
          <w:color w:val="000000" w:themeColor="text1"/>
          <w:sz w:val="20"/>
          <w:szCs w:val="20"/>
        </w:rPr>
      </w:pPr>
      <w:r w:rsidRPr="008F490D">
        <w:rPr>
          <w:color w:val="000000" w:themeColor="text1"/>
          <w:sz w:val="20"/>
          <w:szCs w:val="20"/>
        </w:rPr>
        <w:t>DL: up to 1024QAM</w:t>
      </w:r>
    </w:p>
    <w:p w14:paraId="2F5A003C" w14:textId="77777777" w:rsidR="0032477F" w:rsidRDefault="0032477F" w:rsidP="0032477F">
      <w:pPr>
        <w:autoSpaceDE w:val="0"/>
        <w:autoSpaceDN w:val="0"/>
        <w:adjustRightInd w:val="0"/>
        <w:jc w:val="both"/>
        <w:rPr>
          <w:color w:val="000000" w:themeColor="text1"/>
          <w:sz w:val="20"/>
          <w:szCs w:val="20"/>
        </w:rPr>
      </w:pPr>
    </w:p>
    <w:p w14:paraId="041AA3F6" w14:textId="15C82600" w:rsidR="004B380E" w:rsidRDefault="004B380E" w:rsidP="0032477F">
      <w:pPr>
        <w:autoSpaceDE w:val="0"/>
        <w:autoSpaceDN w:val="0"/>
        <w:adjustRightInd w:val="0"/>
        <w:jc w:val="both"/>
        <w:rPr>
          <w:color w:val="000000" w:themeColor="text1"/>
          <w:sz w:val="20"/>
          <w:szCs w:val="20"/>
        </w:rPr>
      </w:pPr>
      <w:r>
        <w:rPr>
          <w:color w:val="000000" w:themeColor="text1"/>
          <w:sz w:val="20"/>
          <w:szCs w:val="20"/>
        </w:rPr>
        <w:t>Furthermore, as 6G is going to introduce new spectrum such as ~7GHz and wider CBW such as 200MHz, we ag</w:t>
      </w:r>
      <w:r w:rsidR="00BB01C3">
        <w:rPr>
          <w:color w:val="000000" w:themeColor="text1"/>
          <w:sz w:val="20"/>
          <w:szCs w:val="20"/>
        </w:rPr>
        <w:t xml:space="preserve">ree with the views in [2] that the modulation schemes can be studied </w:t>
      </w:r>
      <w:r w:rsidR="00BB01C3" w:rsidRPr="00BB01C3">
        <w:rPr>
          <w:color w:val="000000" w:themeColor="text1"/>
          <w:sz w:val="20"/>
          <w:szCs w:val="20"/>
        </w:rPr>
        <w:t xml:space="preserve">with 200MHz CBW </w:t>
      </w:r>
      <w:r w:rsidR="00BB01C3">
        <w:rPr>
          <w:color w:val="000000" w:themeColor="text1"/>
          <w:sz w:val="20"/>
          <w:szCs w:val="20"/>
        </w:rPr>
        <w:t>in ~</w:t>
      </w:r>
      <w:r w:rsidR="00BB01C3" w:rsidRPr="00BB01C3">
        <w:rPr>
          <w:color w:val="000000" w:themeColor="text1"/>
          <w:sz w:val="20"/>
          <w:szCs w:val="20"/>
        </w:rPr>
        <w:t>7GHz</w:t>
      </w:r>
      <w:r w:rsidR="00BB01C3">
        <w:rPr>
          <w:color w:val="000000" w:themeColor="text1"/>
          <w:sz w:val="20"/>
          <w:szCs w:val="20"/>
        </w:rPr>
        <w:t xml:space="preserve"> to identify any issues or challenges, including the potential use of a new PA model.</w:t>
      </w:r>
    </w:p>
    <w:p w14:paraId="57CC9B45" w14:textId="77777777" w:rsidR="004B380E" w:rsidRDefault="004B380E" w:rsidP="0032477F">
      <w:pPr>
        <w:autoSpaceDE w:val="0"/>
        <w:autoSpaceDN w:val="0"/>
        <w:adjustRightInd w:val="0"/>
        <w:jc w:val="both"/>
        <w:rPr>
          <w:color w:val="000000" w:themeColor="text1"/>
          <w:sz w:val="20"/>
          <w:szCs w:val="20"/>
        </w:rPr>
      </w:pPr>
    </w:p>
    <w:p w14:paraId="613DB3B3" w14:textId="6F270281" w:rsidR="0032477F" w:rsidRPr="009654D0" w:rsidRDefault="0032477F" w:rsidP="0032477F">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 xml:space="preserve">: It is proposed to </w:t>
      </w:r>
      <w:r w:rsidRPr="009654D0">
        <w:rPr>
          <w:b/>
          <w:bCs/>
          <w:i/>
          <w:iCs/>
          <w:color w:val="000000" w:themeColor="text1"/>
          <w:sz w:val="20"/>
          <w:szCs w:val="20"/>
        </w:rPr>
        <w:t xml:space="preserve">consider the following </w:t>
      </w:r>
      <w:r>
        <w:rPr>
          <w:b/>
          <w:bCs/>
          <w:i/>
          <w:iCs/>
          <w:color w:val="000000" w:themeColor="text1"/>
          <w:sz w:val="20"/>
          <w:szCs w:val="20"/>
        </w:rPr>
        <w:t xml:space="preserve">modulation </w:t>
      </w:r>
      <w:r w:rsidR="00DA5212">
        <w:rPr>
          <w:b/>
          <w:bCs/>
          <w:i/>
          <w:iCs/>
          <w:color w:val="000000" w:themeColor="text1"/>
          <w:sz w:val="20"/>
          <w:szCs w:val="20"/>
        </w:rPr>
        <w:t xml:space="preserve">schemes </w:t>
      </w:r>
      <w:r w:rsidRPr="009654D0">
        <w:rPr>
          <w:b/>
          <w:bCs/>
          <w:i/>
          <w:iCs/>
          <w:color w:val="000000" w:themeColor="text1"/>
          <w:sz w:val="20"/>
          <w:szCs w:val="20"/>
        </w:rPr>
        <w:t xml:space="preserve">as </w:t>
      </w:r>
      <w:r>
        <w:rPr>
          <w:b/>
          <w:bCs/>
          <w:i/>
          <w:iCs/>
          <w:color w:val="000000" w:themeColor="text1"/>
          <w:sz w:val="20"/>
          <w:szCs w:val="20"/>
        </w:rPr>
        <w:t>a starting point</w:t>
      </w:r>
      <w:r w:rsidRPr="009654D0">
        <w:rPr>
          <w:b/>
          <w:bCs/>
          <w:i/>
          <w:iCs/>
          <w:color w:val="000000" w:themeColor="text1"/>
          <w:sz w:val="20"/>
          <w:szCs w:val="20"/>
        </w:rPr>
        <w:t xml:space="preserve"> for 6G:</w:t>
      </w:r>
    </w:p>
    <w:p w14:paraId="1723B55E" w14:textId="77777777" w:rsidR="0032477F" w:rsidRPr="009654D0" w:rsidRDefault="0032477F" w:rsidP="0032477F">
      <w:pPr>
        <w:pStyle w:val="ListParagraph"/>
        <w:numPr>
          <w:ilvl w:val="0"/>
          <w:numId w:val="58"/>
        </w:numPr>
        <w:spacing w:before="100" w:beforeAutospacing="1" w:after="100"/>
        <w:rPr>
          <w:b/>
          <w:bCs/>
          <w:i/>
          <w:iCs/>
          <w:color w:val="000000" w:themeColor="text1"/>
          <w:sz w:val="20"/>
          <w:szCs w:val="20"/>
        </w:rPr>
      </w:pPr>
      <w:r w:rsidRPr="009654D0">
        <w:rPr>
          <w:b/>
          <w:bCs/>
          <w:i/>
          <w:iCs/>
          <w:color w:val="000000" w:themeColor="text1"/>
          <w:sz w:val="20"/>
          <w:szCs w:val="20"/>
        </w:rPr>
        <w:t>UL: up to 256 QAM</w:t>
      </w:r>
    </w:p>
    <w:p w14:paraId="4FF19ABC" w14:textId="77777777" w:rsidR="0032477F" w:rsidRPr="009654D0" w:rsidRDefault="0032477F" w:rsidP="0032477F">
      <w:pPr>
        <w:pStyle w:val="ListParagraph"/>
        <w:numPr>
          <w:ilvl w:val="0"/>
          <w:numId w:val="58"/>
        </w:numPr>
        <w:spacing w:before="100" w:beforeAutospacing="1" w:after="100"/>
        <w:rPr>
          <w:b/>
          <w:bCs/>
          <w:i/>
          <w:iCs/>
          <w:color w:val="000000" w:themeColor="text1"/>
          <w:sz w:val="20"/>
          <w:szCs w:val="20"/>
        </w:rPr>
      </w:pPr>
      <w:r w:rsidRPr="009654D0">
        <w:rPr>
          <w:b/>
          <w:bCs/>
          <w:i/>
          <w:iCs/>
          <w:color w:val="000000" w:themeColor="text1"/>
          <w:sz w:val="20"/>
          <w:szCs w:val="20"/>
        </w:rPr>
        <w:t>DL: up to 1024QAM</w:t>
      </w:r>
    </w:p>
    <w:p w14:paraId="7F6F6D8C" w14:textId="32A2076F" w:rsidR="00DA5212" w:rsidRPr="009654D0" w:rsidRDefault="00DA5212" w:rsidP="00DA5212">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 xml:space="preserve">: </w:t>
      </w:r>
      <w:r>
        <w:rPr>
          <w:b/>
          <w:bCs/>
          <w:i/>
          <w:iCs/>
          <w:color w:val="000000" w:themeColor="text1"/>
          <w:sz w:val="20"/>
          <w:szCs w:val="20"/>
        </w:rPr>
        <w:t>The</w:t>
      </w:r>
      <w:r w:rsidRPr="00DA5212">
        <w:rPr>
          <w:b/>
          <w:bCs/>
          <w:i/>
          <w:iCs/>
          <w:color w:val="000000" w:themeColor="text1"/>
          <w:sz w:val="20"/>
          <w:szCs w:val="20"/>
        </w:rPr>
        <w:t xml:space="preserve"> modulation schemes </w:t>
      </w:r>
      <w:r>
        <w:rPr>
          <w:b/>
          <w:bCs/>
          <w:i/>
          <w:iCs/>
          <w:color w:val="000000" w:themeColor="text1"/>
          <w:sz w:val="20"/>
          <w:szCs w:val="20"/>
        </w:rPr>
        <w:t>are</w:t>
      </w:r>
      <w:r w:rsidRPr="00DA5212">
        <w:rPr>
          <w:b/>
          <w:bCs/>
          <w:i/>
          <w:iCs/>
          <w:color w:val="000000" w:themeColor="text1"/>
          <w:sz w:val="20"/>
          <w:szCs w:val="20"/>
        </w:rPr>
        <w:t xml:space="preserve"> studied with 200MHz CBW in ~7GHz to identify any issues or challenges, including the potential use of a new PA model.</w:t>
      </w:r>
    </w:p>
    <w:p w14:paraId="29676A8D" w14:textId="77777777" w:rsidR="00DA5212" w:rsidRDefault="00DA5212" w:rsidP="00DF2E90">
      <w:pPr>
        <w:autoSpaceDE w:val="0"/>
        <w:autoSpaceDN w:val="0"/>
        <w:adjustRightInd w:val="0"/>
        <w:jc w:val="both"/>
        <w:rPr>
          <w:color w:val="000000" w:themeColor="text1"/>
          <w:sz w:val="20"/>
          <w:szCs w:val="20"/>
        </w:rPr>
      </w:pPr>
    </w:p>
    <w:p w14:paraId="6F1F86C0" w14:textId="77777777" w:rsidR="00DA5212" w:rsidRDefault="00DA5212" w:rsidP="00DF2E90">
      <w:pPr>
        <w:autoSpaceDE w:val="0"/>
        <w:autoSpaceDN w:val="0"/>
        <w:adjustRightInd w:val="0"/>
        <w:jc w:val="both"/>
        <w:rPr>
          <w:color w:val="000000" w:themeColor="text1"/>
          <w:sz w:val="20"/>
          <w:szCs w:val="20"/>
        </w:rPr>
      </w:pPr>
    </w:p>
    <w:p w14:paraId="3CE0256E" w14:textId="25367BF6" w:rsidR="0032477F" w:rsidRPr="002821E7" w:rsidRDefault="0032477F" w:rsidP="0032477F">
      <w:pPr>
        <w:pStyle w:val="Heading2"/>
      </w:pPr>
      <w:r>
        <w:t xml:space="preserve">2.2 Higher-order </w:t>
      </w:r>
      <w:r w:rsidR="004B380E">
        <w:t>modulation</w:t>
      </w:r>
      <w:r>
        <w:t xml:space="preserve"> (UL 1K QAM and DL 4K QAM)</w:t>
      </w:r>
    </w:p>
    <w:p w14:paraId="35AD7128" w14:textId="77777777" w:rsidR="0032477F" w:rsidRDefault="0032477F" w:rsidP="00DF2E90">
      <w:pPr>
        <w:autoSpaceDE w:val="0"/>
        <w:autoSpaceDN w:val="0"/>
        <w:adjustRightInd w:val="0"/>
        <w:jc w:val="both"/>
        <w:rPr>
          <w:color w:val="000000" w:themeColor="text1"/>
          <w:sz w:val="20"/>
          <w:szCs w:val="20"/>
        </w:rPr>
      </w:pPr>
    </w:p>
    <w:p w14:paraId="244C43B8" w14:textId="058D179C" w:rsidR="00DC11B0" w:rsidRPr="00DC11B0" w:rsidRDefault="00DC11B0" w:rsidP="00DF2E90">
      <w:pPr>
        <w:autoSpaceDE w:val="0"/>
        <w:autoSpaceDN w:val="0"/>
        <w:adjustRightInd w:val="0"/>
        <w:jc w:val="both"/>
        <w:rPr>
          <w:b/>
          <w:bCs/>
          <w:color w:val="000000" w:themeColor="text1"/>
          <w:sz w:val="20"/>
          <w:szCs w:val="20"/>
          <w:u w:val="single"/>
        </w:rPr>
      </w:pPr>
      <w:r w:rsidRPr="00DC11B0">
        <w:rPr>
          <w:b/>
          <w:bCs/>
          <w:color w:val="000000" w:themeColor="text1"/>
          <w:sz w:val="20"/>
          <w:szCs w:val="20"/>
          <w:u w:val="single"/>
        </w:rPr>
        <w:t>UL 1024QAM</w:t>
      </w:r>
    </w:p>
    <w:p w14:paraId="15A38F3E" w14:textId="77777777" w:rsidR="00DC11B0" w:rsidRDefault="00DC11B0" w:rsidP="00DF2E90">
      <w:pPr>
        <w:autoSpaceDE w:val="0"/>
        <w:autoSpaceDN w:val="0"/>
        <w:adjustRightInd w:val="0"/>
        <w:jc w:val="both"/>
        <w:rPr>
          <w:color w:val="000000" w:themeColor="text1"/>
          <w:sz w:val="20"/>
          <w:szCs w:val="20"/>
        </w:rPr>
      </w:pPr>
    </w:p>
    <w:p w14:paraId="545FD117" w14:textId="52AEA29F" w:rsidR="00DC11B0" w:rsidRDefault="00DC11B0" w:rsidP="004B380E">
      <w:pPr>
        <w:autoSpaceDE w:val="0"/>
        <w:autoSpaceDN w:val="0"/>
        <w:adjustRightInd w:val="0"/>
        <w:jc w:val="both"/>
        <w:rPr>
          <w:color w:val="000000" w:themeColor="text1"/>
          <w:sz w:val="20"/>
          <w:szCs w:val="20"/>
        </w:rPr>
      </w:pPr>
      <w:r>
        <w:rPr>
          <w:color w:val="000000" w:themeColor="text1"/>
          <w:sz w:val="20"/>
          <w:szCs w:val="20"/>
        </w:rPr>
        <w:t>As stated in the WF, the targeted UE type is FWA UE. Compared to handheld UEs, FWA UE has less form factor or power consumption constraints. Therefore, the starting point of EVM requirements can be the BS EVM requirement for DL 1024QAM, which is 2.5% for 4.2GHz or below and 2.8% for above 4.2GHz.</w:t>
      </w:r>
    </w:p>
    <w:p w14:paraId="4693A78D" w14:textId="77777777" w:rsidR="00DC11B0" w:rsidRDefault="00DC11B0" w:rsidP="004B380E">
      <w:pPr>
        <w:autoSpaceDE w:val="0"/>
        <w:autoSpaceDN w:val="0"/>
        <w:adjustRightInd w:val="0"/>
        <w:jc w:val="both"/>
        <w:rPr>
          <w:color w:val="000000" w:themeColor="text1"/>
          <w:sz w:val="20"/>
          <w:szCs w:val="20"/>
        </w:rPr>
      </w:pPr>
    </w:p>
    <w:p w14:paraId="1B9CD4AD" w14:textId="075AB258" w:rsidR="00DC11B0" w:rsidRDefault="00DC11B0" w:rsidP="00DC11B0">
      <w:pPr>
        <w:autoSpaceDE w:val="0"/>
        <w:autoSpaceDN w:val="0"/>
        <w:adjustRightInd w:val="0"/>
        <w:jc w:val="center"/>
        <w:rPr>
          <w:color w:val="000000" w:themeColor="text1"/>
          <w:sz w:val="20"/>
          <w:szCs w:val="20"/>
        </w:rPr>
      </w:pPr>
      <w:r w:rsidRPr="00DC11B0">
        <w:rPr>
          <w:noProof/>
          <w:color w:val="000000" w:themeColor="text1"/>
          <w:sz w:val="20"/>
          <w:szCs w:val="20"/>
        </w:rPr>
        <w:drawing>
          <wp:inline distT="0" distB="0" distL="0" distR="0" wp14:anchorId="3D788B0C" wp14:editId="1F8107D9">
            <wp:extent cx="4152558" cy="1724597"/>
            <wp:effectExtent l="0" t="0" r="635" b="3175"/>
            <wp:docPr id="24606674"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06674" name="Picture 1" descr="A table with numbers and letters&#10;&#10;AI-generated content may be incorrect."/>
                    <pic:cNvPicPr/>
                  </pic:nvPicPr>
                  <pic:blipFill>
                    <a:blip r:embed="rId9"/>
                    <a:stretch>
                      <a:fillRect/>
                    </a:stretch>
                  </pic:blipFill>
                  <pic:spPr>
                    <a:xfrm>
                      <a:off x="0" y="0"/>
                      <a:ext cx="4256900" cy="1767931"/>
                    </a:xfrm>
                    <a:prstGeom prst="rect">
                      <a:avLst/>
                    </a:prstGeom>
                  </pic:spPr>
                </pic:pic>
              </a:graphicData>
            </a:graphic>
          </wp:inline>
        </w:drawing>
      </w:r>
    </w:p>
    <w:p w14:paraId="084CB531" w14:textId="77777777" w:rsidR="00DC11B0" w:rsidRDefault="00DC11B0" w:rsidP="004B380E">
      <w:pPr>
        <w:autoSpaceDE w:val="0"/>
        <w:autoSpaceDN w:val="0"/>
        <w:adjustRightInd w:val="0"/>
        <w:jc w:val="both"/>
        <w:rPr>
          <w:color w:val="000000" w:themeColor="text1"/>
          <w:sz w:val="20"/>
          <w:szCs w:val="20"/>
        </w:rPr>
      </w:pPr>
    </w:p>
    <w:p w14:paraId="66817708" w14:textId="4B1611DC" w:rsidR="00DC11B0" w:rsidRDefault="00B15441" w:rsidP="004B380E">
      <w:pPr>
        <w:autoSpaceDE w:val="0"/>
        <w:autoSpaceDN w:val="0"/>
        <w:adjustRightInd w:val="0"/>
        <w:jc w:val="both"/>
        <w:rPr>
          <w:color w:val="000000" w:themeColor="text1"/>
          <w:sz w:val="20"/>
          <w:szCs w:val="20"/>
        </w:rPr>
      </w:pPr>
      <w:r>
        <w:rPr>
          <w:color w:val="000000" w:themeColor="text1"/>
          <w:sz w:val="20"/>
          <w:szCs w:val="20"/>
        </w:rPr>
        <w:t xml:space="preserve">Then we discuss the major implementation sources that contribute to EVM. On the BS side, </w:t>
      </w:r>
      <w:r w:rsidR="00996A36">
        <w:rPr>
          <w:color w:val="000000" w:themeColor="text1"/>
          <w:sz w:val="20"/>
          <w:szCs w:val="20"/>
        </w:rPr>
        <w:t xml:space="preserve">major sources are LO </w:t>
      </w:r>
      <w:r w:rsidR="00996A36" w:rsidRPr="00996A36">
        <w:rPr>
          <w:color w:val="000000" w:themeColor="text1"/>
          <w:sz w:val="20"/>
          <w:szCs w:val="20"/>
        </w:rPr>
        <w:t>phase noise</w:t>
      </w:r>
      <w:r w:rsidR="00996A36">
        <w:rPr>
          <w:color w:val="000000" w:themeColor="text1"/>
          <w:sz w:val="20"/>
          <w:szCs w:val="20"/>
        </w:rPr>
        <w:t xml:space="preserve">, </w:t>
      </w:r>
      <w:r w:rsidR="00996A36" w:rsidRPr="00996A36">
        <w:rPr>
          <w:color w:val="000000" w:themeColor="text1"/>
          <w:sz w:val="20"/>
          <w:szCs w:val="20"/>
        </w:rPr>
        <w:t>clipping noise caused by CFR (Crest factor reduction) algorithm, and PA non-linearity.</w:t>
      </w:r>
      <w:r w:rsidR="00996A36">
        <w:rPr>
          <w:color w:val="000000" w:themeColor="text1"/>
          <w:sz w:val="20"/>
          <w:szCs w:val="20"/>
        </w:rPr>
        <w:t xml:space="preserve"> W</w:t>
      </w:r>
      <w:r w:rsidR="00996A36" w:rsidRPr="00996A36">
        <w:rPr>
          <w:color w:val="000000" w:themeColor="text1"/>
          <w:sz w:val="20"/>
          <w:szCs w:val="20"/>
        </w:rPr>
        <w:t xml:space="preserve">ith </w:t>
      </w:r>
      <w:r w:rsidR="00996A36">
        <w:rPr>
          <w:color w:val="000000" w:themeColor="text1"/>
          <w:sz w:val="20"/>
          <w:szCs w:val="20"/>
        </w:rPr>
        <w:t xml:space="preserve">some </w:t>
      </w:r>
      <w:r w:rsidR="00996A36" w:rsidRPr="00996A36">
        <w:rPr>
          <w:color w:val="000000" w:themeColor="text1"/>
          <w:sz w:val="20"/>
          <w:szCs w:val="20"/>
        </w:rPr>
        <w:t xml:space="preserve">power backoff and proper </w:t>
      </w:r>
      <w:r w:rsidR="00996A36">
        <w:rPr>
          <w:color w:val="000000" w:themeColor="text1"/>
          <w:sz w:val="20"/>
          <w:szCs w:val="20"/>
        </w:rPr>
        <w:t>clipping, it was shown that it is feasible to achieve the required EVM.</w:t>
      </w:r>
    </w:p>
    <w:p w14:paraId="3839338B" w14:textId="77777777" w:rsidR="00996A36" w:rsidRDefault="00996A36" w:rsidP="004B380E">
      <w:pPr>
        <w:autoSpaceDE w:val="0"/>
        <w:autoSpaceDN w:val="0"/>
        <w:adjustRightInd w:val="0"/>
        <w:jc w:val="both"/>
        <w:rPr>
          <w:color w:val="000000" w:themeColor="text1"/>
          <w:sz w:val="20"/>
          <w:szCs w:val="20"/>
        </w:rPr>
      </w:pPr>
    </w:p>
    <w:p w14:paraId="624CBAD4" w14:textId="4DD79191" w:rsidR="00996A36" w:rsidRDefault="00996A36" w:rsidP="004B380E">
      <w:pPr>
        <w:autoSpaceDE w:val="0"/>
        <w:autoSpaceDN w:val="0"/>
        <w:adjustRightInd w:val="0"/>
        <w:jc w:val="both"/>
        <w:rPr>
          <w:color w:val="000000" w:themeColor="text1"/>
          <w:sz w:val="20"/>
          <w:szCs w:val="20"/>
        </w:rPr>
      </w:pPr>
      <w:r>
        <w:rPr>
          <w:color w:val="000000" w:themeColor="text1"/>
          <w:sz w:val="20"/>
          <w:szCs w:val="20"/>
        </w:rPr>
        <w:t>On the UE side, we note the following EVM breakdown for UL 256QAM</w:t>
      </w:r>
      <w:r w:rsidR="0004550F">
        <w:rPr>
          <w:color w:val="000000" w:themeColor="text1"/>
          <w:sz w:val="20"/>
          <w:szCs w:val="20"/>
        </w:rPr>
        <w:t xml:space="preserve"> and 64QAM </w:t>
      </w:r>
      <w:r w:rsidR="000015AC">
        <w:rPr>
          <w:color w:val="000000" w:themeColor="text1"/>
          <w:sz w:val="20"/>
          <w:szCs w:val="20"/>
        </w:rPr>
        <w:t>as shown</w:t>
      </w:r>
      <w:r w:rsidR="0004550F">
        <w:rPr>
          <w:color w:val="000000" w:themeColor="text1"/>
          <w:sz w:val="20"/>
          <w:szCs w:val="20"/>
        </w:rPr>
        <w:t xml:space="preserve"> in [3]</w:t>
      </w:r>
      <w:r w:rsidR="00B57489">
        <w:rPr>
          <w:color w:val="000000" w:themeColor="text1"/>
          <w:sz w:val="20"/>
          <w:szCs w:val="20"/>
        </w:rPr>
        <w:t>.</w:t>
      </w:r>
    </w:p>
    <w:p w14:paraId="797884DE" w14:textId="77777777" w:rsidR="00996A36" w:rsidRDefault="00996A36" w:rsidP="004B380E">
      <w:pPr>
        <w:autoSpaceDE w:val="0"/>
        <w:autoSpaceDN w:val="0"/>
        <w:adjustRightInd w:val="0"/>
        <w:jc w:val="both"/>
        <w:rPr>
          <w:color w:val="000000" w:themeColor="text1"/>
          <w:sz w:val="20"/>
          <w:szCs w:val="20"/>
        </w:rPr>
      </w:pPr>
    </w:p>
    <w:p w14:paraId="5B175CB1" w14:textId="77777777" w:rsidR="0004550F" w:rsidRDefault="0004550F" w:rsidP="0004550F">
      <w:pPr>
        <w:pStyle w:val="Caption"/>
        <w:keepNext/>
        <w:jc w:val="center"/>
      </w:pPr>
      <w:r>
        <w:t xml:space="preserve">Table </w:t>
      </w:r>
      <w:fldSimple w:instr=" SEQ Table \* ARABIC ">
        <w:r>
          <w:t>1</w:t>
        </w:r>
      </w:fldSimple>
      <w:r>
        <w:t xml:space="preserve"> EVM budget for 256QAM and 64QAM</w:t>
      </w:r>
    </w:p>
    <w:tbl>
      <w:tblPr>
        <w:tblW w:w="6379" w:type="dxa"/>
        <w:jc w:val="center"/>
        <w:tblLook w:val="04A0" w:firstRow="1" w:lastRow="0" w:firstColumn="1" w:lastColumn="0" w:noHBand="0" w:noVBand="1"/>
      </w:tblPr>
      <w:tblGrid>
        <w:gridCol w:w="2320"/>
        <w:gridCol w:w="941"/>
        <w:gridCol w:w="992"/>
        <w:gridCol w:w="1134"/>
        <w:gridCol w:w="992"/>
      </w:tblGrid>
      <w:tr w:rsidR="0004550F" w14:paraId="2DBD7581" w14:textId="77777777" w:rsidTr="00F400D3">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noWrap/>
            <w:vAlign w:val="center"/>
          </w:tcPr>
          <w:p w14:paraId="2A4BD6EE" w14:textId="77777777" w:rsidR="0004550F" w:rsidRDefault="0004550F" w:rsidP="00F400D3">
            <w:pPr>
              <w:jc w:val="center"/>
              <w:rPr>
                <w:rFonts w:ascii="Arial" w:hAnsi="Arial" w:cs="Arial"/>
                <w:sz w:val="16"/>
                <w:szCs w:val="16"/>
              </w:rPr>
            </w:pPr>
            <w:r>
              <w:rPr>
                <w:rFonts w:ascii="Arial" w:hAnsi="Arial" w:cs="Arial"/>
                <w:sz w:val="16"/>
                <w:szCs w:val="16"/>
              </w:rPr>
              <w:t>Non-linearity source</w:t>
            </w:r>
          </w:p>
        </w:tc>
        <w:tc>
          <w:tcPr>
            <w:tcW w:w="1933" w:type="dxa"/>
            <w:gridSpan w:val="2"/>
            <w:tcBorders>
              <w:top w:val="single" w:sz="4" w:space="0" w:color="auto"/>
              <w:left w:val="nil"/>
              <w:bottom w:val="single" w:sz="4" w:space="0" w:color="auto"/>
              <w:right w:val="single" w:sz="4" w:space="0" w:color="auto"/>
            </w:tcBorders>
            <w:noWrap/>
            <w:vAlign w:val="bottom"/>
          </w:tcPr>
          <w:p w14:paraId="3A814021" w14:textId="77777777" w:rsidR="0004550F" w:rsidRDefault="0004550F" w:rsidP="00F400D3">
            <w:pPr>
              <w:jc w:val="center"/>
              <w:rPr>
                <w:rFonts w:ascii="Arial" w:hAnsi="Arial" w:cs="Arial"/>
                <w:sz w:val="16"/>
                <w:szCs w:val="16"/>
              </w:rPr>
            </w:pPr>
            <w:r>
              <w:rPr>
                <w:rFonts w:ascii="Arial" w:hAnsi="Arial" w:cs="Arial"/>
                <w:sz w:val="16"/>
                <w:szCs w:val="16"/>
              </w:rPr>
              <w:t>256QAM</w:t>
            </w:r>
          </w:p>
        </w:tc>
        <w:tc>
          <w:tcPr>
            <w:tcW w:w="2126" w:type="dxa"/>
            <w:gridSpan w:val="2"/>
            <w:tcBorders>
              <w:top w:val="single" w:sz="4" w:space="0" w:color="auto"/>
              <w:left w:val="nil"/>
              <w:bottom w:val="single" w:sz="4" w:space="0" w:color="auto"/>
              <w:right w:val="single" w:sz="4" w:space="0" w:color="auto"/>
            </w:tcBorders>
            <w:noWrap/>
            <w:vAlign w:val="bottom"/>
          </w:tcPr>
          <w:p w14:paraId="0B85F966" w14:textId="77777777" w:rsidR="0004550F" w:rsidRDefault="0004550F" w:rsidP="00F400D3">
            <w:pPr>
              <w:jc w:val="center"/>
              <w:rPr>
                <w:rFonts w:ascii="Arial" w:hAnsi="Arial" w:cs="Arial"/>
                <w:sz w:val="16"/>
                <w:szCs w:val="16"/>
              </w:rPr>
            </w:pPr>
            <w:r>
              <w:rPr>
                <w:rFonts w:ascii="Arial" w:hAnsi="Arial" w:cs="Arial"/>
                <w:sz w:val="16"/>
                <w:szCs w:val="16"/>
              </w:rPr>
              <w:t>64QAM</w:t>
            </w:r>
          </w:p>
        </w:tc>
      </w:tr>
      <w:tr w:rsidR="0004550F" w14:paraId="668566B6" w14:textId="77777777" w:rsidTr="00F400D3">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tcPr>
          <w:p w14:paraId="58519939" w14:textId="77777777" w:rsidR="0004550F" w:rsidRDefault="0004550F" w:rsidP="00F400D3">
            <w:pPr>
              <w:jc w:val="center"/>
              <w:rPr>
                <w:rFonts w:ascii="Arial" w:hAnsi="Arial" w:cs="Arial"/>
                <w:sz w:val="16"/>
                <w:szCs w:val="16"/>
              </w:rPr>
            </w:pPr>
          </w:p>
        </w:tc>
        <w:tc>
          <w:tcPr>
            <w:tcW w:w="941" w:type="dxa"/>
            <w:tcBorders>
              <w:top w:val="nil"/>
              <w:left w:val="nil"/>
              <w:bottom w:val="double" w:sz="6" w:space="0" w:color="auto"/>
              <w:right w:val="single" w:sz="4" w:space="0" w:color="auto"/>
            </w:tcBorders>
            <w:noWrap/>
            <w:vAlign w:val="bottom"/>
          </w:tcPr>
          <w:p w14:paraId="4D7004DC" w14:textId="77777777" w:rsidR="0004550F" w:rsidRDefault="0004550F" w:rsidP="00F400D3">
            <w:pPr>
              <w:jc w:val="center"/>
              <w:rPr>
                <w:rFonts w:ascii="Arial" w:hAnsi="Arial" w:cs="Arial"/>
                <w:sz w:val="16"/>
                <w:szCs w:val="16"/>
              </w:rPr>
            </w:pPr>
            <w:r>
              <w:rPr>
                <w:rFonts w:ascii="Arial" w:hAnsi="Arial" w:cs="Arial"/>
                <w:sz w:val="16"/>
                <w:szCs w:val="16"/>
              </w:rPr>
              <w:t>%</w:t>
            </w:r>
          </w:p>
        </w:tc>
        <w:tc>
          <w:tcPr>
            <w:tcW w:w="992" w:type="dxa"/>
            <w:tcBorders>
              <w:top w:val="nil"/>
              <w:left w:val="nil"/>
              <w:bottom w:val="double" w:sz="6" w:space="0" w:color="auto"/>
              <w:right w:val="single" w:sz="4" w:space="0" w:color="auto"/>
            </w:tcBorders>
            <w:noWrap/>
            <w:vAlign w:val="bottom"/>
          </w:tcPr>
          <w:p w14:paraId="5D774E00" w14:textId="77777777" w:rsidR="0004550F" w:rsidRDefault="0004550F" w:rsidP="00F400D3">
            <w:pPr>
              <w:jc w:val="center"/>
              <w:rPr>
                <w:rFonts w:ascii="Arial" w:hAnsi="Arial" w:cs="Arial"/>
                <w:sz w:val="16"/>
                <w:szCs w:val="16"/>
              </w:rPr>
            </w:pPr>
            <w:r>
              <w:rPr>
                <w:rFonts w:ascii="Arial" w:hAnsi="Arial" w:cs="Arial"/>
                <w:sz w:val="16"/>
                <w:szCs w:val="16"/>
              </w:rPr>
              <w:t>C/N</w:t>
            </w:r>
          </w:p>
        </w:tc>
        <w:tc>
          <w:tcPr>
            <w:tcW w:w="1134" w:type="dxa"/>
            <w:tcBorders>
              <w:top w:val="nil"/>
              <w:left w:val="nil"/>
              <w:bottom w:val="double" w:sz="6" w:space="0" w:color="auto"/>
              <w:right w:val="single" w:sz="4" w:space="0" w:color="auto"/>
            </w:tcBorders>
            <w:noWrap/>
            <w:vAlign w:val="bottom"/>
          </w:tcPr>
          <w:p w14:paraId="44F84D49" w14:textId="77777777" w:rsidR="0004550F" w:rsidRDefault="0004550F" w:rsidP="00F400D3">
            <w:pPr>
              <w:jc w:val="center"/>
              <w:rPr>
                <w:rFonts w:ascii="Arial" w:hAnsi="Arial" w:cs="Arial"/>
                <w:sz w:val="16"/>
                <w:szCs w:val="16"/>
              </w:rPr>
            </w:pPr>
            <w:r>
              <w:rPr>
                <w:rFonts w:ascii="Arial" w:hAnsi="Arial" w:cs="Arial"/>
                <w:sz w:val="16"/>
                <w:szCs w:val="16"/>
              </w:rPr>
              <w:t>%</w:t>
            </w:r>
          </w:p>
        </w:tc>
        <w:tc>
          <w:tcPr>
            <w:tcW w:w="992" w:type="dxa"/>
            <w:tcBorders>
              <w:top w:val="nil"/>
              <w:left w:val="nil"/>
              <w:bottom w:val="double" w:sz="6" w:space="0" w:color="auto"/>
              <w:right w:val="single" w:sz="4" w:space="0" w:color="auto"/>
            </w:tcBorders>
            <w:noWrap/>
            <w:vAlign w:val="bottom"/>
          </w:tcPr>
          <w:p w14:paraId="04B9C9F5" w14:textId="77777777" w:rsidR="0004550F" w:rsidRDefault="0004550F" w:rsidP="00F400D3">
            <w:pPr>
              <w:jc w:val="center"/>
              <w:rPr>
                <w:rFonts w:ascii="Arial" w:hAnsi="Arial" w:cs="Arial"/>
                <w:sz w:val="16"/>
                <w:szCs w:val="16"/>
              </w:rPr>
            </w:pPr>
            <w:r>
              <w:rPr>
                <w:rFonts w:ascii="Arial" w:hAnsi="Arial" w:cs="Arial"/>
                <w:sz w:val="16"/>
                <w:szCs w:val="16"/>
              </w:rPr>
              <w:t>C/N</w:t>
            </w:r>
          </w:p>
        </w:tc>
      </w:tr>
      <w:tr w:rsidR="0004550F" w14:paraId="47DA0930" w14:textId="77777777" w:rsidTr="00F400D3">
        <w:trPr>
          <w:trHeight w:val="270"/>
          <w:jc w:val="center"/>
        </w:trPr>
        <w:tc>
          <w:tcPr>
            <w:tcW w:w="2320" w:type="dxa"/>
            <w:tcBorders>
              <w:top w:val="nil"/>
              <w:left w:val="single" w:sz="4" w:space="0" w:color="auto"/>
              <w:bottom w:val="single" w:sz="4" w:space="0" w:color="auto"/>
              <w:right w:val="single" w:sz="4" w:space="0" w:color="auto"/>
            </w:tcBorders>
            <w:noWrap/>
            <w:vAlign w:val="bottom"/>
          </w:tcPr>
          <w:p w14:paraId="26C2427D" w14:textId="77777777" w:rsidR="0004550F" w:rsidRDefault="0004550F" w:rsidP="00F400D3">
            <w:pPr>
              <w:jc w:val="center"/>
              <w:rPr>
                <w:rFonts w:ascii="Arial" w:hAnsi="Arial" w:cs="Arial"/>
                <w:sz w:val="16"/>
                <w:szCs w:val="16"/>
              </w:rPr>
            </w:pPr>
            <w:r>
              <w:rPr>
                <w:rFonts w:ascii="Arial" w:hAnsi="Arial" w:cs="Arial"/>
                <w:sz w:val="16"/>
                <w:szCs w:val="16"/>
              </w:rPr>
              <w:t>PA</w:t>
            </w:r>
          </w:p>
        </w:tc>
        <w:tc>
          <w:tcPr>
            <w:tcW w:w="941" w:type="dxa"/>
            <w:tcBorders>
              <w:top w:val="nil"/>
              <w:left w:val="nil"/>
              <w:bottom w:val="single" w:sz="4" w:space="0" w:color="auto"/>
              <w:right w:val="single" w:sz="4" w:space="0" w:color="auto"/>
            </w:tcBorders>
            <w:noWrap/>
            <w:vAlign w:val="center"/>
          </w:tcPr>
          <w:p w14:paraId="057D7E3F" w14:textId="77777777" w:rsidR="0004550F" w:rsidRDefault="0004550F" w:rsidP="00F400D3">
            <w:pPr>
              <w:jc w:val="center"/>
              <w:rPr>
                <w:rFonts w:ascii="Arial" w:hAnsi="Arial" w:cs="Arial"/>
                <w:sz w:val="16"/>
                <w:szCs w:val="16"/>
              </w:rPr>
            </w:pPr>
            <w:r>
              <w:rPr>
                <w:rFonts w:ascii="Arial" w:hAnsi="Arial" w:cs="Arial"/>
                <w:sz w:val="16"/>
                <w:szCs w:val="16"/>
              </w:rPr>
              <w:t>1.50%</w:t>
            </w:r>
          </w:p>
        </w:tc>
        <w:tc>
          <w:tcPr>
            <w:tcW w:w="992" w:type="dxa"/>
            <w:tcBorders>
              <w:top w:val="nil"/>
              <w:left w:val="nil"/>
              <w:bottom w:val="single" w:sz="4" w:space="0" w:color="auto"/>
              <w:right w:val="single" w:sz="4" w:space="0" w:color="auto"/>
            </w:tcBorders>
            <w:noWrap/>
            <w:vAlign w:val="center"/>
          </w:tcPr>
          <w:p w14:paraId="3A60D948" w14:textId="77777777" w:rsidR="0004550F" w:rsidRDefault="0004550F" w:rsidP="00F400D3">
            <w:pPr>
              <w:jc w:val="center"/>
              <w:rPr>
                <w:rFonts w:ascii="Arial" w:hAnsi="Arial" w:cs="Arial"/>
                <w:sz w:val="16"/>
                <w:szCs w:val="16"/>
              </w:rPr>
            </w:pPr>
            <w:r>
              <w:rPr>
                <w:rFonts w:ascii="Arial" w:hAnsi="Arial" w:cs="Arial"/>
                <w:sz w:val="16"/>
                <w:szCs w:val="16"/>
              </w:rPr>
              <w:t>36.5</w:t>
            </w:r>
          </w:p>
        </w:tc>
        <w:tc>
          <w:tcPr>
            <w:tcW w:w="1134" w:type="dxa"/>
            <w:tcBorders>
              <w:top w:val="nil"/>
              <w:left w:val="nil"/>
              <w:bottom w:val="single" w:sz="4" w:space="0" w:color="auto"/>
              <w:right w:val="single" w:sz="4" w:space="0" w:color="auto"/>
            </w:tcBorders>
            <w:noWrap/>
            <w:vAlign w:val="center"/>
          </w:tcPr>
          <w:p w14:paraId="307C60F2" w14:textId="77777777" w:rsidR="0004550F" w:rsidRDefault="0004550F" w:rsidP="00F400D3">
            <w:pPr>
              <w:jc w:val="center"/>
              <w:rPr>
                <w:rFonts w:ascii="Arial" w:hAnsi="Arial" w:cs="Arial"/>
                <w:sz w:val="16"/>
                <w:szCs w:val="16"/>
              </w:rPr>
            </w:pPr>
            <w:r>
              <w:rPr>
                <w:rFonts w:ascii="Arial" w:hAnsi="Arial" w:cs="Arial"/>
                <w:sz w:val="16"/>
                <w:szCs w:val="16"/>
              </w:rPr>
              <w:t>4.00%</w:t>
            </w:r>
          </w:p>
        </w:tc>
        <w:tc>
          <w:tcPr>
            <w:tcW w:w="992" w:type="dxa"/>
            <w:tcBorders>
              <w:top w:val="nil"/>
              <w:left w:val="nil"/>
              <w:bottom w:val="single" w:sz="4" w:space="0" w:color="auto"/>
              <w:right w:val="single" w:sz="4" w:space="0" w:color="auto"/>
            </w:tcBorders>
            <w:noWrap/>
            <w:vAlign w:val="center"/>
          </w:tcPr>
          <w:p w14:paraId="2E9FE9D3" w14:textId="77777777" w:rsidR="0004550F" w:rsidRDefault="0004550F" w:rsidP="00F400D3">
            <w:pPr>
              <w:jc w:val="center"/>
              <w:rPr>
                <w:rFonts w:ascii="Arial" w:hAnsi="Arial" w:cs="Arial"/>
                <w:sz w:val="16"/>
                <w:szCs w:val="16"/>
              </w:rPr>
            </w:pPr>
            <w:r>
              <w:rPr>
                <w:rFonts w:ascii="Arial" w:hAnsi="Arial" w:cs="Arial"/>
                <w:sz w:val="16"/>
                <w:szCs w:val="16"/>
              </w:rPr>
              <w:t>28.0</w:t>
            </w:r>
          </w:p>
        </w:tc>
      </w:tr>
      <w:tr w:rsidR="0004550F" w14:paraId="5B0757FD" w14:textId="77777777" w:rsidTr="00F400D3">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129F3F7F" w14:textId="77777777" w:rsidR="0004550F" w:rsidRDefault="0004550F" w:rsidP="00F400D3">
            <w:pPr>
              <w:jc w:val="center"/>
              <w:rPr>
                <w:rFonts w:ascii="Arial" w:hAnsi="Arial" w:cs="Arial"/>
                <w:sz w:val="16"/>
                <w:szCs w:val="16"/>
              </w:rPr>
            </w:pPr>
            <w:r>
              <w:rPr>
                <w:rFonts w:ascii="Arial" w:hAnsi="Arial" w:cs="Arial"/>
                <w:sz w:val="16"/>
                <w:szCs w:val="16"/>
              </w:rPr>
              <w:t>Transmitter nonlinearity</w:t>
            </w:r>
          </w:p>
        </w:tc>
        <w:tc>
          <w:tcPr>
            <w:tcW w:w="941" w:type="dxa"/>
            <w:tcBorders>
              <w:top w:val="nil"/>
              <w:left w:val="nil"/>
              <w:bottom w:val="single" w:sz="4" w:space="0" w:color="auto"/>
              <w:right w:val="single" w:sz="4" w:space="0" w:color="auto"/>
            </w:tcBorders>
            <w:noWrap/>
            <w:vAlign w:val="center"/>
          </w:tcPr>
          <w:p w14:paraId="0253A270" w14:textId="77777777" w:rsidR="0004550F" w:rsidRDefault="0004550F" w:rsidP="00F400D3">
            <w:pPr>
              <w:jc w:val="center"/>
              <w:rPr>
                <w:rFonts w:ascii="Arial" w:hAnsi="Arial" w:cs="Arial"/>
                <w:sz w:val="16"/>
                <w:szCs w:val="16"/>
              </w:rPr>
            </w:pPr>
            <w:r>
              <w:rPr>
                <w:rFonts w:ascii="Arial" w:hAnsi="Arial" w:cs="Arial"/>
                <w:sz w:val="16"/>
                <w:szCs w:val="16"/>
              </w:rPr>
              <w:t>1.34%</w:t>
            </w:r>
          </w:p>
        </w:tc>
        <w:tc>
          <w:tcPr>
            <w:tcW w:w="992" w:type="dxa"/>
            <w:tcBorders>
              <w:top w:val="nil"/>
              <w:left w:val="nil"/>
              <w:bottom w:val="single" w:sz="4" w:space="0" w:color="auto"/>
              <w:right w:val="single" w:sz="4" w:space="0" w:color="auto"/>
            </w:tcBorders>
            <w:noWrap/>
            <w:vAlign w:val="center"/>
          </w:tcPr>
          <w:p w14:paraId="5D8B581C" w14:textId="77777777" w:rsidR="0004550F" w:rsidRDefault="0004550F" w:rsidP="00F400D3">
            <w:pPr>
              <w:jc w:val="center"/>
              <w:rPr>
                <w:rFonts w:ascii="Arial" w:hAnsi="Arial" w:cs="Arial"/>
                <w:sz w:val="16"/>
                <w:szCs w:val="16"/>
              </w:rPr>
            </w:pPr>
            <w:r>
              <w:rPr>
                <w:rFonts w:ascii="Arial" w:hAnsi="Arial" w:cs="Arial"/>
                <w:sz w:val="16"/>
                <w:szCs w:val="16"/>
              </w:rPr>
              <w:t>37.4</w:t>
            </w:r>
          </w:p>
        </w:tc>
        <w:tc>
          <w:tcPr>
            <w:tcW w:w="1134" w:type="dxa"/>
            <w:tcBorders>
              <w:top w:val="nil"/>
              <w:left w:val="nil"/>
              <w:bottom w:val="single" w:sz="4" w:space="0" w:color="auto"/>
              <w:right w:val="single" w:sz="4" w:space="0" w:color="auto"/>
            </w:tcBorders>
            <w:noWrap/>
            <w:vAlign w:val="center"/>
          </w:tcPr>
          <w:p w14:paraId="45C01792" w14:textId="77777777" w:rsidR="0004550F" w:rsidRDefault="0004550F" w:rsidP="00F400D3">
            <w:pPr>
              <w:jc w:val="center"/>
              <w:rPr>
                <w:rFonts w:ascii="Arial" w:hAnsi="Arial" w:cs="Arial"/>
                <w:sz w:val="16"/>
                <w:szCs w:val="16"/>
              </w:rPr>
            </w:pPr>
            <w:r>
              <w:rPr>
                <w:rFonts w:ascii="Arial" w:hAnsi="Arial" w:cs="Arial"/>
                <w:sz w:val="16"/>
                <w:szCs w:val="16"/>
              </w:rPr>
              <w:t>3.37%</w:t>
            </w:r>
          </w:p>
        </w:tc>
        <w:tc>
          <w:tcPr>
            <w:tcW w:w="992" w:type="dxa"/>
            <w:tcBorders>
              <w:top w:val="nil"/>
              <w:left w:val="nil"/>
              <w:bottom w:val="single" w:sz="4" w:space="0" w:color="auto"/>
              <w:right w:val="single" w:sz="4" w:space="0" w:color="auto"/>
            </w:tcBorders>
            <w:noWrap/>
            <w:vAlign w:val="center"/>
          </w:tcPr>
          <w:p w14:paraId="75550E02" w14:textId="77777777" w:rsidR="0004550F" w:rsidRDefault="0004550F" w:rsidP="00F400D3">
            <w:pPr>
              <w:jc w:val="center"/>
              <w:rPr>
                <w:rFonts w:ascii="Arial" w:hAnsi="Arial" w:cs="Arial"/>
                <w:sz w:val="16"/>
                <w:szCs w:val="16"/>
              </w:rPr>
            </w:pPr>
            <w:r>
              <w:rPr>
                <w:rFonts w:ascii="Arial" w:hAnsi="Arial" w:cs="Arial"/>
                <w:sz w:val="16"/>
                <w:szCs w:val="16"/>
              </w:rPr>
              <w:t>29.5</w:t>
            </w:r>
          </w:p>
        </w:tc>
      </w:tr>
      <w:tr w:rsidR="0004550F" w14:paraId="3423BDD8" w14:textId="77777777" w:rsidTr="00F400D3">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43C76917" w14:textId="77777777" w:rsidR="0004550F" w:rsidRDefault="0004550F" w:rsidP="00F400D3">
            <w:pPr>
              <w:jc w:val="center"/>
              <w:rPr>
                <w:rFonts w:ascii="Arial" w:hAnsi="Arial" w:cs="Arial"/>
                <w:sz w:val="16"/>
                <w:szCs w:val="16"/>
              </w:rPr>
            </w:pPr>
            <w:r>
              <w:rPr>
                <w:rFonts w:ascii="Arial" w:hAnsi="Arial" w:cs="Arial"/>
                <w:sz w:val="16"/>
                <w:szCs w:val="16"/>
              </w:rPr>
              <w:lastRenderedPageBreak/>
              <w:t>LO Phase noise</w:t>
            </w:r>
          </w:p>
        </w:tc>
        <w:tc>
          <w:tcPr>
            <w:tcW w:w="941" w:type="dxa"/>
            <w:tcBorders>
              <w:top w:val="nil"/>
              <w:left w:val="nil"/>
              <w:bottom w:val="single" w:sz="4" w:space="0" w:color="auto"/>
              <w:right w:val="single" w:sz="4" w:space="0" w:color="auto"/>
            </w:tcBorders>
            <w:noWrap/>
            <w:vAlign w:val="center"/>
          </w:tcPr>
          <w:p w14:paraId="54176B93" w14:textId="77777777" w:rsidR="0004550F" w:rsidRDefault="0004550F" w:rsidP="00F400D3">
            <w:pPr>
              <w:jc w:val="center"/>
              <w:rPr>
                <w:rFonts w:ascii="Arial" w:hAnsi="Arial" w:cs="Arial"/>
                <w:sz w:val="16"/>
                <w:szCs w:val="16"/>
              </w:rPr>
            </w:pPr>
            <w:r>
              <w:rPr>
                <w:rFonts w:ascii="Arial" w:hAnsi="Arial" w:cs="Arial"/>
                <w:sz w:val="16"/>
                <w:szCs w:val="16"/>
              </w:rPr>
              <w:t>1.78%</w:t>
            </w:r>
          </w:p>
        </w:tc>
        <w:tc>
          <w:tcPr>
            <w:tcW w:w="992" w:type="dxa"/>
            <w:tcBorders>
              <w:top w:val="nil"/>
              <w:left w:val="nil"/>
              <w:bottom w:val="single" w:sz="4" w:space="0" w:color="auto"/>
              <w:right w:val="single" w:sz="4" w:space="0" w:color="auto"/>
            </w:tcBorders>
            <w:noWrap/>
            <w:vAlign w:val="center"/>
          </w:tcPr>
          <w:p w14:paraId="2186C68A" w14:textId="77777777" w:rsidR="0004550F" w:rsidRDefault="0004550F" w:rsidP="00F400D3">
            <w:pPr>
              <w:jc w:val="center"/>
              <w:rPr>
                <w:rFonts w:ascii="Arial" w:hAnsi="Arial" w:cs="Arial"/>
                <w:sz w:val="16"/>
                <w:szCs w:val="16"/>
              </w:rPr>
            </w:pPr>
            <w:r>
              <w:rPr>
                <w:rFonts w:ascii="Arial" w:hAnsi="Arial" w:cs="Arial"/>
                <w:sz w:val="16"/>
                <w:szCs w:val="16"/>
              </w:rPr>
              <w:t>35.0</w:t>
            </w:r>
          </w:p>
        </w:tc>
        <w:tc>
          <w:tcPr>
            <w:tcW w:w="1134" w:type="dxa"/>
            <w:tcBorders>
              <w:top w:val="nil"/>
              <w:left w:val="nil"/>
              <w:bottom w:val="single" w:sz="4" w:space="0" w:color="auto"/>
              <w:right w:val="single" w:sz="4" w:space="0" w:color="auto"/>
            </w:tcBorders>
            <w:noWrap/>
            <w:vAlign w:val="center"/>
          </w:tcPr>
          <w:p w14:paraId="4A7B5155" w14:textId="77777777" w:rsidR="0004550F" w:rsidRDefault="0004550F" w:rsidP="00F400D3">
            <w:pPr>
              <w:jc w:val="center"/>
              <w:rPr>
                <w:rFonts w:ascii="Arial" w:hAnsi="Arial" w:cs="Arial"/>
                <w:sz w:val="16"/>
                <w:szCs w:val="16"/>
              </w:rPr>
            </w:pPr>
            <w:r>
              <w:rPr>
                <w:rFonts w:ascii="Arial" w:hAnsi="Arial" w:cs="Arial"/>
                <w:sz w:val="16"/>
                <w:szCs w:val="16"/>
              </w:rPr>
              <w:t>2.24%</w:t>
            </w:r>
          </w:p>
        </w:tc>
        <w:tc>
          <w:tcPr>
            <w:tcW w:w="992" w:type="dxa"/>
            <w:tcBorders>
              <w:top w:val="nil"/>
              <w:left w:val="nil"/>
              <w:bottom w:val="single" w:sz="4" w:space="0" w:color="auto"/>
              <w:right w:val="single" w:sz="4" w:space="0" w:color="auto"/>
            </w:tcBorders>
            <w:noWrap/>
            <w:vAlign w:val="center"/>
          </w:tcPr>
          <w:p w14:paraId="77EC025E" w14:textId="77777777" w:rsidR="0004550F" w:rsidRDefault="0004550F" w:rsidP="00F400D3">
            <w:pPr>
              <w:jc w:val="center"/>
              <w:rPr>
                <w:rFonts w:ascii="Arial" w:hAnsi="Arial" w:cs="Arial"/>
                <w:sz w:val="16"/>
                <w:szCs w:val="16"/>
              </w:rPr>
            </w:pPr>
            <w:r>
              <w:rPr>
                <w:rFonts w:ascii="Arial" w:hAnsi="Arial" w:cs="Arial"/>
                <w:sz w:val="16"/>
                <w:szCs w:val="16"/>
              </w:rPr>
              <w:t>33.0</w:t>
            </w:r>
          </w:p>
        </w:tc>
      </w:tr>
      <w:tr w:rsidR="0004550F" w14:paraId="12581AE3" w14:textId="77777777" w:rsidTr="00F400D3">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5A36DE4F" w14:textId="77777777" w:rsidR="0004550F" w:rsidRDefault="0004550F" w:rsidP="00F400D3">
            <w:pPr>
              <w:jc w:val="center"/>
              <w:rPr>
                <w:rFonts w:ascii="Arial" w:hAnsi="Arial" w:cs="Arial"/>
                <w:sz w:val="16"/>
                <w:szCs w:val="16"/>
              </w:rPr>
            </w:pPr>
            <w:r>
              <w:rPr>
                <w:rFonts w:ascii="Arial" w:hAnsi="Arial" w:cs="Arial"/>
                <w:sz w:val="16"/>
                <w:szCs w:val="16"/>
              </w:rPr>
              <w:t>IQ Image</w:t>
            </w:r>
          </w:p>
        </w:tc>
        <w:tc>
          <w:tcPr>
            <w:tcW w:w="941" w:type="dxa"/>
            <w:tcBorders>
              <w:top w:val="nil"/>
              <w:left w:val="nil"/>
              <w:bottom w:val="single" w:sz="4" w:space="0" w:color="auto"/>
              <w:right w:val="single" w:sz="4" w:space="0" w:color="auto"/>
            </w:tcBorders>
            <w:noWrap/>
            <w:vAlign w:val="center"/>
          </w:tcPr>
          <w:p w14:paraId="05FB6A8C" w14:textId="77777777" w:rsidR="0004550F" w:rsidRDefault="0004550F" w:rsidP="00F400D3">
            <w:pPr>
              <w:jc w:val="center"/>
              <w:rPr>
                <w:rFonts w:ascii="Arial" w:hAnsi="Arial" w:cs="Arial"/>
                <w:sz w:val="16"/>
                <w:szCs w:val="16"/>
              </w:rPr>
            </w:pPr>
            <w:r>
              <w:rPr>
                <w:rFonts w:ascii="Arial" w:hAnsi="Arial" w:cs="Arial"/>
                <w:sz w:val="16"/>
                <w:szCs w:val="16"/>
              </w:rPr>
              <w:t>2.24%</w:t>
            </w:r>
          </w:p>
        </w:tc>
        <w:tc>
          <w:tcPr>
            <w:tcW w:w="992" w:type="dxa"/>
            <w:tcBorders>
              <w:top w:val="nil"/>
              <w:left w:val="nil"/>
              <w:bottom w:val="single" w:sz="4" w:space="0" w:color="auto"/>
              <w:right w:val="single" w:sz="4" w:space="0" w:color="auto"/>
            </w:tcBorders>
            <w:noWrap/>
            <w:vAlign w:val="center"/>
          </w:tcPr>
          <w:p w14:paraId="19333B47" w14:textId="77777777" w:rsidR="0004550F" w:rsidRDefault="0004550F" w:rsidP="00F400D3">
            <w:pPr>
              <w:jc w:val="center"/>
              <w:rPr>
                <w:rFonts w:ascii="Arial" w:hAnsi="Arial" w:cs="Arial"/>
                <w:sz w:val="16"/>
                <w:szCs w:val="16"/>
              </w:rPr>
            </w:pPr>
            <w:r>
              <w:rPr>
                <w:rFonts w:ascii="Arial" w:hAnsi="Arial" w:cs="Arial"/>
                <w:sz w:val="16"/>
                <w:szCs w:val="16"/>
              </w:rPr>
              <w:t>33.0</w:t>
            </w:r>
          </w:p>
        </w:tc>
        <w:tc>
          <w:tcPr>
            <w:tcW w:w="1134" w:type="dxa"/>
            <w:tcBorders>
              <w:top w:val="nil"/>
              <w:left w:val="nil"/>
              <w:bottom w:val="single" w:sz="4" w:space="0" w:color="auto"/>
              <w:right w:val="single" w:sz="4" w:space="0" w:color="auto"/>
            </w:tcBorders>
            <w:noWrap/>
            <w:vAlign w:val="center"/>
          </w:tcPr>
          <w:p w14:paraId="5D75D208" w14:textId="77777777" w:rsidR="0004550F" w:rsidRDefault="0004550F" w:rsidP="00F400D3">
            <w:pPr>
              <w:jc w:val="center"/>
              <w:rPr>
                <w:rFonts w:ascii="Arial" w:hAnsi="Arial" w:cs="Arial"/>
                <w:sz w:val="16"/>
                <w:szCs w:val="16"/>
              </w:rPr>
            </w:pPr>
            <w:r>
              <w:rPr>
                <w:rFonts w:ascii="Arial" w:hAnsi="Arial" w:cs="Arial"/>
                <w:sz w:val="16"/>
                <w:szCs w:val="16"/>
              </w:rPr>
              <w:t>5.62%</w:t>
            </w:r>
          </w:p>
        </w:tc>
        <w:tc>
          <w:tcPr>
            <w:tcW w:w="992" w:type="dxa"/>
            <w:tcBorders>
              <w:top w:val="nil"/>
              <w:left w:val="nil"/>
              <w:bottom w:val="single" w:sz="4" w:space="0" w:color="auto"/>
              <w:right w:val="single" w:sz="4" w:space="0" w:color="auto"/>
            </w:tcBorders>
            <w:noWrap/>
            <w:vAlign w:val="center"/>
          </w:tcPr>
          <w:p w14:paraId="0C076270" w14:textId="77777777" w:rsidR="0004550F" w:rsidRDefault="0004550F" w:rsidP="00F400D3">
            <w:pPr>
              <w:jc w:val="center"/>
              <w:rPr>
                <w:rFonts w:ascii="Arial" w:hAnsi="Arial" w:cs="Arial"/>
                <w:sz w:val="16"/>
                <w:szCs w:val="16"/>
              </w:rPr>
            </w:pPr>
            <w:r>
              <w:rPr>
                <w:rFonts w:ascii="Arial" w:hAnsi="Arial" w:cs="Arial"/>
                <w:sz w:val="16"/>
                <w:szCs w:val="16"/>
              </w:rPr>
              <w:t>25.0</w:t>
            </w:r>
          </w:p>
        </w:tc>
      </w:tr>
      <w:tr w:rsidR="0004550F" w14:paraId="4E5C9C27" w14:textId="77777777" w:rsidTr="00F400D3">
        <w:trPr>
          <w:trHeight w:val="255"/>
          <w:jc w:val="center"/>
        </w:trPr>
        <w:tc>
          <w:tcPr>
            <w:tcW w:w="2320" w:type="dxa"/>
            <w:tcBorders>
              <w:top w:val="nil"/>
              <w:left w:val="single" w:sz="4" w:space="0" w:color="auto"/>
              <w:bottom w:val="single" w:sz="4" w:space="0" w:color="auto"/>
              <w:right w:val="single" w:sz="4" w:space="0" w:color="auto"/>
            </w:tcBorders>
            <w:noWrap/>
            <w:vAlign w:val="bottom"/>
          </w:tcPr>
          <w:p w14:paraId="590C32C8" w14:textId="77777777" w:rsidR="0004550F" w:rsidRDefault="0004550F" w:rsidP="00F400D3">
            <w:pPr>
              <w:rPr>
                <w:rFonts w:ascii="Arial" w:hAnsi="Arial" w:cs="Arial"/>
                <w:sz w:val="16"/>
                <w:szCs w:val="16"/>
              </w:rPr>
            </w:pPr>
            <w:r>
              <w:rPr>
                <w:rFonts w:ascii="Arial" w:hAnsi="Arial" w:cs="Arial"/>
                <w:sz w:val="16"/>
                <w:szCs w:val="16"/>
              </w:rPr>
              <w:t>Transmitter total</w:t>
            </w:r>
          </w:p>
        </w:tc>
        <w:tc>
          <w:tcPr>
            <w:tcW w:w="941" w:type="dxa"/>
            <w:tcBorders>
              <w:top w:val="nil"/>
              <w:left w:val="nil"/>
              <w:bottom w:val="single" w:sz="4" w:space="0" w:color="auto"/>
              <w:right w:val="single" w:sz="4" w:space="0" w:color="auto"/>
            </w:tcBorders>
            <w:noWrap/>
            <w:vAlign w:val="center"/>
          </w:tcPr>
          <w:p w14:paraId="440504F6" w14:textId="77777777" w:rsidR="0004550F" w:rsidRDefault="0004550F" w:rsidP="00F400D3">
            <w:pPr>
              <w:jc w:val="center"/>
              <w:rPr>
                <w:rFonts w:ascii="Arial" w:hAnsi="Arial" w:cs="Arial"/>
                <w:sz w:val="16"/>
                <w:szCs w:val="16"/>
              </w:rPr>
            </w:pPr>
            <w:r>
              <w:rPr>
                <w:rFonts w:ascii="Arial" w:hAnsi="Arial" w:cs="Arial"/>
                <w:sz w:val="16"/>
                <w:szCs w:val="16"/>
              </w:rPr>
              <w:t>3.50%</w:t>
            </w:r>
          </w:p>
        </w:tc>
        <w:tc>
          <w:tcPr>
            <w:tcW w:w="992" w:type="dxa"/>
            <w:tcBorders>
              <w:top w:val="nil"/>
              <w:left w:val="nil"/>
              <w:bottom w:val="single" w:sz="4" w:space="0" w:color="auto"/>
              <w:right w:val="single" w:sz="4" w:space="0" w:color="auto"/>
            </w:tcBorders>
            <w:noWrap/>
            <w:vAlign w:val="center"/>
          </w:tcPr>
          <w:p w14:paraId="0F9C3733" w14:textId="77777777" w:rsidR="0004550F" w:rsidRDefault="0004550F" w:rsidP="00F400D3">
            <w:pPr>
              <w:jc w:val="center"/>
              <w:rPr>
                <w:rFonts w:ascii="Arial" w:hAnsi="Arial" w:cs="Arial"/>
                <w:sz w:val="16"/>
                <w:szCs w:val="16"/>
              </w:rPr>
            </w:pPr>
            <w:r>
              <w:rPr>
                <w:rFonts w:ascii="Arial" w:hAnsi="Arial" w:cs="Arial"/>
                <w:sz w:val="16"/>
                <w:szCs w:val="16"/>
              </w:rPr>
              <w:t>29.1</w:t>
            </w:r>
          </w:p>
        </w:tc>
        <w:tc>
          <w:tcPr>
            <w:tcW w:w="1134" w:type="dxa"/>
            <w:tcBorders>
              <w:top w:val="nil"/>
              <w:left w:val="nil"/>
              <w:bottom w:val="single" w:sz="4" w:space="0" w:color="auto"/>
              <w:right w:val="single" w:sz="4" w:space="0" w:color="auto"/>
            </w:tcBorders>
            <w:noWrap/>
            <w:vAlign w:val="center"/>
          </w:tcPr>
          <w:p w14:paraId="76FE4D3B" w14:textId="77777777" w:rsidR="0004550F" w:rsidRDefault="0004550F" w:rsidP="00F400D3">
            <w:pPr>
              <w:jc w:val="center"/>
              <w:rPr>
                <w:rFonts w:ascii="Arial" w:hAnsi="Arial" w:cs="Arial"/>
                <w:sz w:val="16"/>
                <w:szCs w:val="16"/>
              </w:rPr>
            </w:pPr>
            <w:r>
              <w:rPr>
                <w:rFonts w:ascii="Arial" w:hAnsi="Arial" w:cs="Arial"/>
                <w:sz w:val="16"/>
                <w:szCs w:val="16"/>
              </w:rPr>
              <w:t>8.00%</w:t>
            </w:r>
          </w:p>
        </w:tc>
        <w:tc>
          <w:tcPr>
            <w:tcW w:w="992" w:type="dxa"/>
            <w:tcBorders>
              <w:top w:val="nil"/>
              <w:left w:val="nil"/>
              <w:bottom w:val="single" w:sz="4" w:space="0" w:color="auto"/>
              <w:right w:val="single" w:sz="4" w:space="0" w:color="auto"/>
            </w:tcBorders>
            <w:noWrap/>
            <w:vAlign w:val="center"/>
          </w:tcPr>
          <w:p w14:paraId="14E5C8FF" w14:textId="77777777" w:rsidR="0004550F" w:rsidRDefault="0004550F" w:rsidP="00F400D3">
            <w:pPr>
              <w:jc w:val="center"/>
              <w:rPr>
                <w:rFonts w:ascii="Arial" w:hAnsi="Arial" w:cs="Arial"/>
                <w:sz w:val="16"/>
                <w:szCs w:val="16"/>
              </w:rPr>
            </w:pPr>
            <w:r>
              <w:rPr>
                <w:rFonts w:ascii="Arial" w:hAnsi="Arial" w:cs="Arial"/>
                <w:sz w:val="16"/>
                <w:szCs w:val="16"/>
              </w:rPr>
              <w:t>21.9</w:t>
            </w:r>
          </w:p>
        </w:tc>
      </w:tr>
    </w:tbl>
    <w:p w14:paraId="4D1288CF" w14:textId="77777777" w:rsidR="0004550F" w:rsidRDefault="0004550F" w:rsidP="004B380E">
      <w:pPr>
        <w:autoSpaceDE w:val="0"/>
        <w:autoSpaceDN w:val="0"/>
        <w:adjustRightInd w:val="0"/>
        <w:jc w:val="both"/>
        <w:rPr>
          <w:color w:val="000000" w:themeColor="text1"/>
          <w:sz w:val="20"/>
          <w:szCs w:val="20"/>
        </w:rPr>
      </w:pPr>
    </w:p>
    <w:p w14:paraId="2AFD396A" w14:textId="77777777" w:rsidR="00996A36" w:rsidRDefault="00996A36" w:rsidP="004B380E">
      <w:pPr>
        <w:autoSpaceDE w:val="0"/>
        <w:autoSpaceDN w:val="0"/>
        <w:adjustRightInd w:val="0"/>
        <w:jc w:val="both"/>
        <w:rPr>
          <w:color w:val="000000" w:themeColor="text1"/>
          <w:sz w:val="20"/>
          <w:szCs w:val="20"/>
        </w:rPr>
      </w:pPr>
    </w:p>
    <w:p w14:paraId="5F1FD576" w14:textId="32DB60F0" w:rsidR="00DC11B0" w:rsidRDefault="00B57489" w:rsidP="004B380E">
      <w:pPr>
        <w:autoSpaceDE w:val="0"/>
        <w:autoSpaceDN w:val="0"/>
        <w:adjustRightInd w:val="0"/>
        <w:jc w:val="both"/>
        <w:rPr>
          <w:color w:val="000000" w:themeColor="text1"/>
          <w:sz w:val="20"/>
          <w:szCs w:val="20"/>
        </w:rPr>
      </w:pPr>
      <w:r>
        <w:rPr>
          <w:color w:val="000000" w:themeColor="text1"/>
          <w:sz w:val="20"/>
          <w:szCs w:val="20"/>
        </w:rPr>
        <w:t>In our view, the EVM contributing sources for UL 1024QAM remain the same. The question is to what extent they can be further reduced.</w:t>
      </w:r>
      <w:r w:rsidR="0004550F">
        <w:rPr>
          <w:color w:val="000000" w:themeColor="text1"/>
          <w:sz w:val="20"/>
          <w:szCs w:val="20"/>
        </w:rPr>
        <w:t xml:space="preserve"> For example, </w:t>
      </w:r>
      <w:r w:rsidR="00F849FE">
        <w:rPr>
          <w:color w:val="000000" w:themeColor="text1"/>
          <w:sz w:val="20"/>
          <w:szCs w:val="20"/>
        </w:rPr>
        <w:t xml:space="preserve">the </w:t>
      </w:r>
      <w:r w:rsidR="00787148">
        <w:rPr>
          <w:color w:val="000000" w:themeColor="text1"/>
          <w:sz w:val="20"/>
          <w:szCs w:val="20"/>
        </w:rPr>
        <w:t>L</w:t>
      </w:r>
      <w:r w:rsidR="00F849FE">
        <w:rPr>
          <w:color w:val="000000" w:themeColor="text1"/>
          <w:sz w:val="20"/>
          <w:szCs w:val="20"/>
        </w:rPr>
        <w:t>O phase noise</w:t>
      </w:r>
      <w:r w:rsidR="00787148">
        <w:rPr>
          <w:color w:val="000000" w:themeColor="text1"/>
          <w:sz w:val="20"/>
          <w:szCs w:val="20"/>
        </w:rPr>
        <w:t xml:space="preserve"> contribution may have to be lowered to around 1%, which would require significant PLL improvement and optimization. Similarly, it is also challenging to further improve PA linearity.</w:t>
      </w:r>
      <w:r w:rsidR="00CC6366">
        <w:rPr>
          <w:color w:val="000000" w:themeColor="text1"/>
          <w:sz w:val="20"/>
          <w:szCs w:val="20"/>
        </w:rPr>
        <w:t xml:space="preserve"> The </w:t>
      </w:r>
      <w:r w:rsidR="00F849FE">
        <w:rPr>
          <w:color w:val="000000" w:themeColor="text1"/>
          <w:sz w:val="20"/>
          <w:szCs w:val="20"/>
        </w:rPr>
        <w:t xml:space="preserve">IQ image </w:t>
      </w:r>
      <w:r w:rsidR="00CC6366">
        <w:rPr>
          <w:color w:val="000000" w:themeColor="text1"/>
          <w:sz w:val="20"/>
          <w:szCs w:val="20"/>
        </w:rPr>
        <w:t>requirement also needs to be tightened to around 40dB, which is much tigh</w:t>
      </w:r>
      <w:r w:rsidR="00424E79">
        <w:rPr>
          <w:color w:val="000000" w:themeColor="text1"/>
          <w:sz w:val="20"/>
          <w:szCs w:val="20"/>
        </w:rPr>
        <w:t>t</w:t>
      </w:r>
      <w:r w:rsidR="00CC6366">
        <w:rPr>
          <w:color w:val="000000" w:themeColor="text1"/>
          <w:sz w:val="20"/>
          <w:szCs w:val="20"/>
        </w:rPr>
        <w:t xml:space="preserve">er than the current RAN4 requirement of 25dB. </w:t>
      </w:r>
    </w:p>
    <w:p w14:paraId="4E732F3A" w14:textId="77777777" w:rsidR="00B57489" w:rsidRDefault="00B57489" w:rsidP="004B380E">
      <w:pPr>
        <w:autoSpaceDE w:val="0"/>
        <w:autoSpaceDN w:val="0"/>
        <w:adjustRightInd w:val="0"/>
        <w:jc w:val="both"/>
        <w:rPr>
          <w:color w:val="000000" w:themeColor="text1"/>
          <w:sz w:val="20"/>
          <w:szCs w:val="20"/>
        </w:rPr>
      </w:pPr>
    </w:p>
    <w:p w14:paraId="61021471" w14:textId="545B2249" w:rsidR="00CC6366" w:rsidRPr="009654D0" w:rsidRDefault="00CC6366" w:rsidP="00CC6366">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3</w:t>
      </w:r>
      <w:r w:rsidRPr="004B4345">
        <w:rPr>
          <w:b/>
          <w:bCs/>
          <w:i/>
          <w:iCs/>
          <w:color w:val="000000" w:themeColor="text1"/>
          <w:sz w:val="20"/>
          <w:szCs w:val="20"/>
        </w:rPr>
        <w:t xml:space="preserve">: </w:t>
      </w:r>
      <w:r>
        <w:rPr>
          <w:b/>
          <w:bCs/>
          <w:i/>
          <w:iCs/>
          <w:color w:val="000000" w:themeColor="text1"/>
          <w:sz w:val="20"/>
          <w:szCs w:val="20"/>
        </w:rPr>
        <w:t xml:space="preserve">It is proposed to limit the support of UL 1024QAM to FWA UE and further discuss how the existing 2.5% or 2.8% EVM requirements can be met. </w:t>
      </w:r>
    </w:p>
    <w:p w14:paraId="4BB10463" w14:textId="77777777" w:rsidR="00CC6366" w:rsidRDefault="00CC6366" w:rsidP="004B380E">
      <w:pPr>
        <w:autoSpaceDE w:val="0"/>
        <w:autoSpaceDN w:val="0"/>
        <w:adjustRightInd w:val="0"/>
        <w:jc w:val="both"/>
        <w:rPr>
          <w:color w:val="000000" w:themeColor="text1"/>
          <w:sz w:val="20"/>
          <w:szCs w:val="20"/>
        </w:rPr>
      </w:pPr>
    </w:p>
    <w:p w14:paraId="2DAA6311" w14:textId="78C85571" w:rsidR="00617D24" w:rsidRPr="00DC11B0" w:rsidRDefault="00617D24" w:rsidP="00617D24">
      <w:pPr>
        <w:autoSpaceDE w:val="0"/>
        <w:autoSpaceDN w:val="0"/>
        <w:adjustRightInd w:val="0"/>
        <w:jc w:val="both"/>
        <w:rPr>
          <w:b/>
          <w:bCs/>
          <w:color w:val="000000" w:themeColor="text1"/>
          <w:sz w:val="20"/>
          <w:szCs w:val="20"/>
          <w:u w:val="single"/>
        </w:rPr>
      </w:pPr>
      <w:r>
        <w:rPr>
          <w:b/>
          <w:bCs/>
          <w:color w:val="000000" w:themeColor="text1"/>
          <w:sz w:val="20"/>
          <w:szCs w:val="20"/>
          <w:u w:val="single"/>
        </w:rPr>
        <w:t>D</w:t>
      </w:r>
      <w:r w:rsidRPr="00DC11B0">
        <w:rPr>
          <w:b/>
          <w:bCs/>
          <w:color w:val="000000" w:themeColor="text1"/>
          <w:sz w:val="20"/>
          <w:szCs w:val="20"/>
          <w:u w:val="single"/>
        </w:rPr>
        <w:t xml:space="preserve">L </w:t>
      </w:r>
      <w:r>
        <w:rPr>
          <w:b/>
          <w:bCs/>
          <w:color w:val="000000" w:themeColor="text1"/>
          <w:sz w:val="20"/>
          <w:szCs w:val="20"/>
          <w:u w:val="single"/>
        </w:rPr>
        <w:t>4096</w:t>
      </w:r>
      <w:r w:rsidRPr="00DC11B0">
        <w:rPr>
          <w:b/>
          <w:bCs/>
          <w:color w:val="000000" w:themeColor="text1"/>
          <w:sz w:val="20"/>
          <w:szCs w:val="20"/>
          <w:u w:val="single"/>
        </w:rPr>
        <w:t>QAM</w:t>
      </w:r>
    </w:p>
    <w:p w14:paraId="15ACCCF8" w14:textId="77777777" w:rsidR="00B57489" w:rsidRDefault="00B57489" w:rsidP="001C565C">
      <w:pPr>
        <w:pStyle w:val="B2"/>
      </w:pPr>
    </w:p>
    <w:p w14:paraId="1CBCAF40" w14:textId="6B66258D" w:rsidR="00515C6C" w:rsidRDefault="00515C6C" w:rsidP="004B380E">
      <w:pPr>
        <w:autoSpaceDE w:val="0"/>
        <w:autoSpaceDN w:val="0"/>
        <w:adjustRightInd w:val="0"/>
        <w:jc w:val="both"/>
        <w:rPr>
          <w:color w:val="000000" w:themeColor="text1"/>
          <w:sz w:val="20"/>
          <w:szCs w:val="20"/>
        </w:rPr>
      </w:pPr>
      <w:r>
        <w:rPr>
          <w:color w:val="000000" w:themeColor="text1"/>
          <w:sz w:val="20"/>
          <w:szCs w:val="20"/>
        </w:rPr>
        <w:t>We ran some link-level simulation to see the crossover SNR of 4096QAM compared to 1024QAM, as shown below. It can be seen that depending on the channel</w:t>
      </w:r>
      <w:r w:rsidR="001C565C">
        <w:rPr>
          <w:color w:val="000000" w:themeColor="text1"/>
          <w:sz w:val="20"/>
          <w:szCs w:val="20"/>
        </w:rPr>
        <w:t>s, AWGN/TDL-A/TDL-D</w:t>
      </w:r>
      <w:r>
        <w:rPr>
          <w:color w:val="000000" w:themeColor="text1"/>
          <w:sz w:val="20"/>
          <w:szCs w:val="20"/>
        </w:rPr>
        <w:t xml:space="preserve">, the crossover SNR is 30dB or higher. </w:t>
      </w:r>
    </w:p>
    <w:p w14:paraId="663A885D" w14:textId="77777777" w:rsidR="00515C6C" w:rsidRDefault="00515C6C" w:rsidP="004B380E">
      <w:pPr>
        <w:autoSpaceDE w:val="0"/>
        <w:autoSpaceDN w:val="0"/>
        <w:adjustRightInd w:val="0"/>
        <w:jc w:val="both"/>
        <w:rPr>
          <w:color w:val="000000" w:themeColor="text1"/>
          <w:sz w:val="20"/>
          <w:szCs w:val="20"/>
        </w:rPr>
      </w:pPr>
    </w:p>
    <w:p w14:paraId="649904AD" w14:textId="5F9E2ED8" w:rsidR="00515C6C" w:rsidRDefault="00515C6C" w:rsidP="004B380E">
      <w:pPr>
        <w:autoSpaceDE w:val="0"/>
        <w:autoSpaceDN w:val="0"/>
        <w:adjustRightInd w:val="0"/>
        <w:jc w:val="both"/>
        <w:rPr>
          <w:color w:val="000000" w:themeColor="text1"/>
          <w:sz w:val="20"/>
          <w:szCs w:val="20"/>
        </w:rPr>
      </w:pPr>
      <w:r w:rsidRPr="00083F05">
        <w:rPr>
          <w:noProof/>
        </w:rPr>
        <w:drawing>
          <wp:inline distT="0" distB="0" distL="0" distR="0" wp14:anchorId="0D4A6D04" wp14:editId="47BA92E6">
            <wp:extent cx="3630168" cy="2724912"/>
            <wp:effectExtent l="0" t="0" r="2540" b="5715"/>
            <wp:docPr id="908791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791334" name=""/>
                    <pic:cNvPicPr/>
                  </pic:nvPicPr>
                  <pic:blipFill>
                    <a:blip r:embed="rId10"/>
                    <a:stretch>
                      <a:fillRect/>
                    </a:stretch>
                  </pic:blipFill>
                  <pic:spPr>
                    <a:xfrm>
                      <a:off x="0" y="0"/>
                      <a:ext cx="3630168" cy="2724912"/>
                    </a:xfrm>
                    <a:prstGeom prst="rect">
                      <a:avLst/>
                    </a:prstGeom>
                  </pic:spPr>
                </pic:pic>
              </a:graphicData>
            </a:graphic>
          </wp:inline>
        </w:drawing>
      </w:r>
      <w:r w:rsidRPr="00083F05">
        <w:rPr>
          <w:noProof/>
        </w:rPr>
        <w:drawing>
          <wp:inline distT="0" distB="0" distL="0" distR="0" wp14:anchorId="5277EDEF" wp14:editId="5BA25FD0">
            <wp:extent cx="3611880" cy="2706624"/>
            <wp:effectExtent l="0" t="0" r="0" b="0"/>
            <wp:docPr id="5133897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389708" name=""/>
                    <pic:cNvPicPr/>
                  </pic:nvPicPr>
                  <pic:blipFill>
                    <a:blip r:embed="rId11"/>
                    <a:stretch>
                      <a:fillRect/>
                    </a:stretch>
                  </pic:blipFill>
                  <pic:spPr>
                    <a:xfrm>
                      <a:off x="0" y="0"/>
                      <a:ext cx="3611880" cy="2706624"/>
                    </a:xfrm>
                    <a:prstGeom prst="rect">
                      <a:avLst/>
                    </a:prstGeom>
                  </pic:spPr>
                </pic:pic>
              </a:graphicData>
            </a:graphic>
          </wp:inline>
        </w:drawing>
      </w:r>
    </w:p>
    <w:p w14:paraId="33D7693B" w14:textId="77777777" w:rsidR="00515C6C" w:rsidRDefault="00515C6C" w:rsidP="004B380E">
      <w:pPr>
        <w:autoSpaceDE w:val="0"/>
        <w:autoSpaceDN w:val="0"/>
        <w:adjustRightInd w:val="0"/>
        <w:jc w:val="both"/>
        <w:rPr>
          <w:color w:val="000000" w:themeColor="text1"/>
          <w:sz w:val="20"/>
          <w:szCs w:val="20"/>
        </w:rPr>
      </w:pPr>
    </w:p>
    <w:p w14:paraId="395D47B9" w14:textId="55FB4D97" w:rsidR="00515C6C" w:rsidRDefault="00515C6C" w:rsidP="004B380E">
      <w:pPr>
        <w:autoSpaceDE w:val="0"/>
        <w:autoSpaceDN w:val="0"/>
        <w:adjustRightInd w:val="0"/>
        <w:jc w:val="both"/>
        <w:rPr>
          <w:color w:val="000000" w:themeColor="text1"/>
          <w:sz w:val="20"/>
          <w:szCs w:val="20"/>
        </w:rPr>
      </w:pPr>
      <w:r w:rsidRPr="00083F05">
        <w:rPr>
          <w:noProof/>
        </w:rPr>
        <w:lastRenderedPageBreak/>
        <w:drawing>
          <wp:inline distT="0" distB="0" distL="0" distR="0" wp14:anchorId="24DC7771" wp14:editId="15FBAEFC">
            <wp:extent cx="3611880" cy="2706624"/>
            <wp:effectExtent l="0" t="0" r="0" b="0"/>
            <wp:docPr id="630979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9837" name=""/>
                    <pic:cNvPicPr/>
                  </pic:nvPicPr>
                  <pic:blipFill>
                    <a:blip r:embed="rId12"/>
                    <a:stretch>
                      <a:fillRect/>
                    </a:stretch>
                  </pic:blipFill>
                  <pic:spPr>
                    <a:xfrm>
                      <a:off x="0" y="0"/>
                      <a:ext cx="3611880" cy="2706624"/>
                    </a:xfrm>
                    <a:prstGeom prst="rect">
                      <a:avLst/>
                    </a:prstGeom>
                  </pic:spPr>
                </pic:pic>
              </a:graphicData>
            </a:graphic>
          </wp:inline>
        </w:drawing>
      </w:r>
    </w:p>
    <w:p w14:paraId="2830A89C" w14:textId="0D9BFA21" w:rsidR="00667E83" w:rsidRDefault="00AA36B1" w:rsidP="004B380E">
      <w:pPr>
        <w:autoSpaceDE w:val="0"/>
        <w:autoSpaceDN w:val="0"/>
        <w:adjustRightInd w:val="0"/>
        <w:jc w:val="both"/>
        <w:rPr>
          <w:color w:val="000000" w:themeColor="text1"/>
          <w:sz w:val="20"/>
          <w:szCs w:val="20"/>
        </w:rPr>
      </w:pPr>
      <w:r>
        <w:rPr>
          <w:color w:val="000000" w:themeColor="text1"/>
          <w:sz w:val="20"/>
          <w:szCs w:val="20"/>
        </w:rPr>
        <w:t xml:space="preserve">We understand that Wi-Fi 7 supports 4096QAM with an EVM requirement of -38dB or 1.26%. However, since Wi-Fi and cellular services have different application scenario, the first issue to address is </w:t>
      </w:r>
      <w:r w:rsidR="000A46E7">
        <w:rPr>
          <w:color w:val="000000" w:themeColor="text1"/>
          <w:sz w:val="20"/>
          <w:szCs w:val="20"/>
        </w:rPr>
        <w:t xml:space="preserve">in the real </w:t>
      </w:r>
      <w:r w:rsidR="00667E83">
        <w:rPr>
          <w:color w:val="000000" w:themeColor="text1"/>
          <w:sz w:val="20"/>
          <w:szCs w:val="20"/>
        </w:rPr>
        <w:t>cellular deployments</w:t>
      </w:r>
      <w:r w:rsidR="000A46E7">
        <w:rPr>
          <w:color w:val="000000" w:themeColor="text1"/>
          <w:sz w:val="20"/>
          <w:szCs w:val="20"/>
        </w:rPr>
        <w:t xml:space="preserve">, how likely it is to observe an SNR 30dB or higher, where 4096QAM starts to show gain over 1024QAM for single layer transmission. </w:t>
      </w:r>
      <w:r w:rsidR="00667E83">
        <w:rPr>
          <w:color w:val="000000" w:themeColor="text1"/>
          <w:sz w:val="20"/>
          <w:szCs w:val="20"/>
        </w:rPr>
        <w:t xml:space="preserve">When </w:t>
      </w:r>
      <w:r w:rsidR="00667E83" w:rsidRPr="00667E83">
        <w:rPr>
          <w:color w:val="000000" w:themeColor="text1"/>
          <w:sz w:val="20"/>
          <w:szCs w:val="20"/>
        </w:rPr>
        <w:t>Tx EVM requirement for 256QAM</w:t>
      </w:r>
      <w:r w:rsidR="00667E83">
        <w:rPr>
          <w:color w:val="000000" w:themeColor="text1"/>
          <w:sz w:val="20"/>
          <w:szCs w:val="20"/>
        </w:rPr>
        <w:t xml:space="preserve"> were discussed, </w:t>
      </w:r>
      <w:r w:rsidR="00667E83" w:rsidRPr="00667E83">
        <w:rPr>
          <w:color w:val="000000" w:themeColor="text1"/>
          <w:sz w:val="20"/>
          <w:szCs w:val="20"/>
        </w:rPr>
        <w:t xml:space="preserve">the small cell deployments scenarios </w:t>
      </w:r>
      <w:r w:rsidR="00667E83">
        <w:rPr>
          <w:color w:val="000000" w:themeColor="text1"/>
          <w:sz w:val="20"/>
          <w:szCs w:val="20"/>
        </w:rPr>
        <w:t>were targeted where BS transmits at a low power and have room to apply power backoff if needed to meet the EVM requirement</w:t>
      </w:r>
      <w:r w:rsidR="00667E83" w:rsidRPr="00667E83">
        <w:rPr>
          <w:color w:val="000000" w:themeColor="text1"/>
          <w:sz w:val="20"/>
          <w:szCs w:val="20"/>
        </w:rPr>
        <w:t xml:space="preserve">. </w:t>
      </w:r>
      <w:r w:rsidR="00C43D5D">
        <w:rPr>
          <w:color w:val="000000" w:themeColor="text1"/>
          <w:sz w:val="20"/>
          <w:szCs w:val="20"/>
        </w:rPr>
        <w:t xml:space="preserve">For DL </w:t>
      </w:r>
      <w:r w:rsidR="00667E83" w:rsidRPr="00667E83">
        <w:rPr>
          <w:color w:val="000000" w:themeColor="text1"/>
          <w:sz w:val="20"/>
          <w:szCs w:val="20"/>
        </w:rPr>
        <w:t>1024QAM</w:t>
      </w:r>
      <w:r w:rsidR="00C43D5D">
        <w:rPr>
          <w:color w:val="000000" w:themeColor="text1"/>
          <w:sz w:val="20"/>
          <w:szCs w:val="20"/>
        </w:rPr>
        <w:t xml:space="preserve">, </w:t>
      </w:r>
      <w:r w:rsidR="00667E83" w:rsidRPr="00667E83">
        <w:rPr>
          <w:color w:val="000000" w:themeColor="text1"/>
          <w:sz w:val="20"/>
          <w:szCs w:val="20"/>
        </w:rPr>
        <w:t xml:space="preserve">even lower </w:t>
      </w:r>
      <w:r w:rsidR="00C43D5D">
        <w:rPr>
          <w:color w:val="000000" w:themeColor="text1"/>
          <w:sz w:val="20"/>
          <w:szCs w:val="20"/>
        </w:rPr>
        <w:t xml:space="preserve">BS </w:t>
      </w:r>
      <w:r w:rsidR="00667E83" w:rsidRPr="00667E83">
        <w:rPr>
          <w:color w:val="000000" w:themeColor="text1"/>
          <w:sz w:val="20"/>
          <w:szCs w:val="20"/>
        </w:rPr>
        <w:t xml:space="preserve">transmit power </w:t>
      </w:r>
      <w:r w:rsidR="00C43D5D">
        <w:rPr>
          <w:color w:val="000000" w:themeColor="text1"/>
          <w:sz w:val="20"/>
          <w:szCs w:val="20"/>
        </w:rPr>
        <w:t xml:space="preserve">is expected because of the tightened BS EVM requirement. For DL 4096QAM, would this mean the cell coverage is further reduced compared to 1024QAM due to the further tightened BS EVM requirement, say 1.26%? It is better to consider the deployment scenarios for 4096QAM. Furthermore, for small cell deployments, the receive SINR at the UE may also suffer from the inter-cell interference, which makes evaluation of real field SINR critical in understanding if there is performance gain. </w:t>
      </w:r>
    </w:p>
    <w:p w14:paraId="6CA23117" w14:textId="77777777" w:rsidR="00E37689" w:rsidRDefault="00E37689" w:rsidP="004B380E">
      <w:pPr>
        <w:autoSpaceDE w:val="0"/>
        <w:autoSpaceDN w:val="0"/>
        <w:adjustRightInd w:val="0"/>
        <w:jc w:val="both"/>
        <w:rPr>
          <w:color w:val="000000" w:themeColor="text1"/>
          <w:sz w:val="20"/>
          <w:szCs w:val="20"/>
        </w:rPr>
      </w:pPr>
    </w:p>
    <w:p w14:paraId="29107E8E" w14:textId="5FAB88AC" w:rsidR="000A46E7" w:rsidRPr="009654D0" w:rsidRDefault="000A46E7" w:rsidP="000A46E7">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4</w:t>
      </w:r>
      <w:r w:rsidRPr="004B4345">
        <w:rPr>
          <w:b/>
          <w:bCs/>
          <w:i/>
          <w:iCs/>
          <w:color w:val="000000" w:themeColor="text1"/>
          <w:sz w:val="20"/>
          <w:szCs w:val="20"/>
        </w:rPr>
        <w:t xml:space="preserve">: </w:t>
      </w:r>
      <w:r>
        <w:rPr>
          <w:b/>
          <w:bCs/>
          <w:i/>
          <w:iCs/>
          <w:color w:val="000000" w:themeColor="text1"/>
          <w:sz w:val="20"/>
          <w:szCs w:val="20"/>
        </w:rPr>
        <w:t>It is proposed to understand the potential gain of supporting 4096QAM</w:t>
      </w:r>
      <w:r w:rsidR="00D37763">
        <w:rPr>
          <w:b/>
          <w:bCs/>
          <w:i/>
          <w:iCs/>
          <w:color w:val="000000" w:themeColor="text1"/>
          <w:sz w:val="20"/>
          <w:szCs w:val="20"/>
        </w:rPr>
        <w:t xml:space="preserve"> in real field.</w:t>
      </w:r>
    </w:p>
    <w:p w14:paraId="181364D0" w14:textId="77777777" w:rsidR="004B380E" w:rsidRDefault="004B380E" w:rsidP="004B380E">
      <w:pPr>
        <w:autoSpaceDE w:val="0"/>
        <w:autoSpaceDN w:val="0"/>
        <w:adjustRightInd w:val="0"/>
        <w:jc w:val="both"/>
        <w:rPr>
          <w:color w:val="000000" w:themeColor="text1"/>
          <w:sz w:val="20"/>
          <w:szCs w:val="20"/>
        </w:rPr>
      </w:pPr>
    </w:p>
    <w:p w14:paraId="6E184660" w14:textId="2BE2CCFD" w:rsidR="004B380E" w:rsidRDefault="000A46E7" w:rsidP="004B380E">
      <w:pPr>
        <w:autoSpaceDE w:val="0"/>
        <w:autoSpaceDN w:val="0"/>
        <w:adjustRightInd w:val="0"/>
        <w:jc w:val="both"/>
        <w:rPr>
          <w:color w:val="000000" w:themeColor="text1"/>
          <w:sz w:val="20"/>
          <w:szCs w:val="20"/>
        </w:rPr>
      </w:pPr>
      <w:r>
        <w:rPr>
          <w:color w:val="000000" w:themeColor="text1"/>
          <w:sz w:val="20"/>
          <w:szCs w:val="20"/>
        </w:rPr>
        <w:t xml:space="preserve">On implementation feasibility, </w:t>
      </w:r>
      <w:r w:rsidR="0043617E">
        <w:rPr>
          <w:color w:val="000000" w:themeColor="text1"/>
          <w:sz w:val="20"/>
          <w:szCs w:val="20"/>
        </w:rPr>
        <w:t>besides the difficulty on the BS side, we would like to emphasize this places a huge burden on the UE side to reduce RX EVM to meet the 1.26% EVM requirement, assuming the BS TX EVM and UE RX EVM are similar. Note that the UE RX EVM consists of the following sources:</w:t>
      </w:r>
    </w:p>
    <w:p w14:paraId="2C4BF944" w14:textId="329968E1" w:rsidR="0043617E" w:rsidRPr="0043617E" w:rsidRDefault="0043617E" w:rsidP="0043617E">
      <w:pPr>
        <w:pStyle w:val="ListParagraph"/>
        <w:numPr>
          <w:ilvl w:val="0"/>
          <w:numId w:val="67"/>
        </w:numPr>
        <w:autoSpaceDE w:val="0"/>
        <w:autoSpaceDN w:val="0"/>
        <w:adjustRightInd w:val="0"/>
        <w:jc w:val="both"/>
        <w:rPr>
          <w:color w:val="000000" w:themeColor="text1"/>
          <w:sz w:val="20"/>
          <w:szCs w:val="20"/>
        </w:rPr>
      </w:pPr>
      <w:r w:rsidRPr="0043617E">
        <w:rPr>
          <w:color w:val="000000" w:themeColor="text1"/>
          <w:sz w:val="20"/>
          <w:szCs w:val="20"/>
        </w:rPr>
        <w:t xml:space="preserve">Rx </w:t>
      </w:r>
      <w:r>
        <w:rPr>
          <w:color w:val="000000" w:themeColor="text1"/>
          <w:sz w:val="20"/>
          <w:szCs w:val="20"/>
        </w:rPr>
        <w:t>LO</w:t>
      </w:r>
      <w:r w:rsidRPr="0043617E">
        <w:rPr>
          <w:color w:val="000000" w:themeColor="text1"/>
          <w:sz w:val="20"/>
          <w:szCs w:val="20"/>
        </w:rPr>
        <w:t xml:space="preserve"> phase noise </w:t>
      </w:r>
    </w:p>
    <w:p w14:paraId="79A67726" w14:textId="15246377" w:rsidR="0043617E" w:rsidRDefault="0043617E" w:rsidP="0043617E">
      <w:pPr>
        <w:pStyle w:val="ListParagraph"/>
        <w:numPr>
          <w:ilvl w:val="0"/>
          <w:numId w:val="67"/>
        </w:numPr>
        <w:autoSpaceDE w:val="0"/>
        <w:autoSpaceDN w:val="0"/>
        <w:adjustRightInd w:val="0"/>
        <w:jc w:val="both"/>
        <w:rPr>
          <w:color w:val="000000" w:themeColor="text1"/>
          <w:sz w:val="20"/>
          <w:szCs w:val="20"/>
        </w:rPr>
      </w:pPr>
      <w:r w:rsidRPr="0043617E">
        <w:rPr>
          <w:color w:val="000000" w:themeColor="text1"/>
          <w:sz w:val="20"/>
          <w:szCs w:val="20"/>
        </w:rPr>
        <w:t xml:space="preserve">Rx </w:t>
      </w:r>
      <w:r w:rsidR="00934EFF">
        <w:rPr>
          <w:color w:val="000000" w:themeColor="text1"/>
          <w:sz w:val="20"/>
          <w:szCs w:val="20"/>
        </w:rPr>
        <w:t>non-linearity</w:t>
      </w:r>
    </w:p>
    <w:p w14:paraId="5409328B" w14:textId="1297A7DE" w:rsidR="00934EFF" w:rsidRPr="0043617E" w:rsidRDefault="00934EFF" w:rsidP="0043617E">
      <w:pPr>
        <w:pStyle w:val="ListParagraph"/>
        <w:numPr>
          <w:ilvl w:val="0"/>
          <w:numId w:val="67"/>
        </w:numPr>
        <w:autoSpaceDE w:val="0"/>
        <w:autoSpaceDN w:val="0"/>
        <w:adjustRightInd w:val="0"/>
        <w:jc w:val="both"/>
        <w:rPr>
          <w:color w:val="000000" w:themeColor="text1"/>
          <w:sz w:val="20"/>
          <w:szCs w:val="20"/>
        </w:rPr>
      </w:pPr>
      <w:r>
        <w:rPr>
          <w:color w:val="000000" w:themeColor="text1"/>
          <w:sz w:val="20"/>
          <w:szCs w:val="20"/>
        </w:rPr>
        <w:t>ADC quantization noise</w:t>
      </w:r>
    </w:p>
    <w:p w14:paraId="0235D7A8" w14:textId="77777777" w:rsidR="0043617E" w:rsidRPr="0043617E" w:rsidRDefault="0043617E" w:rsidP="0043617E">
      <w:pPr>
        <w:pStyle w:val="ListParagraph"/>
        <w:numPr>
          <w:ilvl w:val="0"/>
          <w:numId w:val="67"/>
        </w:numPr>
        <w:autoSpaceDE w:val="0"/>
        <w:autoSpaceDN w:val="0"/>
        <w:adjustRightInd w:val="0"/>
        <w:jc w:val="both"/>
        <w:rPr>
          <w:color w:val="000000" w:themeColor="text1"/>
          <w:sz w:val="20"/>
          <w:szCs w:val="20"/>
        </w:rPr>
      </w:pPr>
      <w:r w:rsidRPr="0043617E">
        <w:rPr>
          <w:color w:val="000000" w:themeColor="text1"/>
          <w:sz w:val="20"/>
          <w:szCs w:val="20"/>
        </w:rPr>
        <w:t xml:space="preserve">I/Q imbalance </w:t>
      </w:r>
    </w:p>
    <w:p w14:paraId="669EFC41" w14:textId="77777777" w:rsidR="0043617E" w:rsidRPr="0043617E" w:rsidRDefault="0043617E" w:rsidP="0043617E">
      <w:pPr>
        <w:pStyle w:val="ListParagraph"/>
        <w:numPr>
          <w:ilvl w:val="0"/>
          <w:numId w:val="67"/>
        </w:numPr>
        <w:autoSpaceDE w:val="0"/>
        <w:autoSpaceDN w:val="0"/>
        <w:adjustRightInd w:val="0"/>
        <w:jc w:val="both"/>
        <w:rPr>
          <w:color w:val="000000" w:themeColor="text1"/>
          <w:sz w:val="20"/>
          <w:szCs w:val="20"/>
        </w:rPr>
      </w:pPr>
      <w:r w:rsidRPr="0043617E">
        <w:rPr>
          <w:color w:val="000000" w:themeColor="text1"/>
          <w:sz w:val="20"/>
          <w:szCs w:val="20"/>
        </w:rPr>
        <w:t>Carrier leakage (DC offset)</w:t>
      </w:r>
    </w:p>
    <w:p w14:paraId="7C403A9B" w14:textId="77777777" w:rsidR="0043617E" w:rsidRPr="0043617E" w:rsidRDefault="0043617E" w:rsidP="0043617E">
      <w:pPr>
        <w:pStyle w:val="ListParagraph"/>
        <w:numPr>
          <w:ilvl w:val="0"/>
          <w:numId w:val="67"/>
        </w:numPr>
        <w:autoSpaceDE w:val="0"/>
        <w:autoSpaceDN w:val="0"/>
        <w:adjustRightInd w:val="0"/>
        <w:jc w:val="both"/>
        <w:rPr>
          <w:color w:val="000000" w:themeColor="text1"/>
          <w:sz w:val="20"/>
          <w:szCs w:val="20"/>
        </w:rPr>
      </w:pPr>
      <w:r w:rsidRPr="0043617E">
        <w:rPr>
          <w:color w:val="000000" w:themeColor="text1"/>
          <w:sz w:val="20"/>
          <w:szCs w:val="20"/>
        </w:rPr>
        <w:t>Carrier frequency offset</w:t>
      </w:r>
    </w:p>
    <w:p w14:paraId="6F4158EF" w14:textId="77777777" w:rsidR="0043617E" w:rsidRDefault="0043617E" w:rsidP="0043617E">
      <w:pPr>
        <w:autoSpaceDE w:val="0"/>
        <w:autoSpaceDN w:val="0"/>
        <w:adjustRightInd w:val="0"/>
        <w:jc w:val="both"/>
        <w:rPr>
          <w:color w:val="000000" w:themeColor="text1"/>
          <w:sz w:val="20"/>
          <w:szCs w:val="20"/>
        </w:rPr>
      </w:pPr>
    </w:p>
    <w:p w14:paraId="3B589A2D" w14:textId="00101468" w:rsidR="0043617E" w:rsidRPr="0043617E" w:rsidRDefault="0043617E" w:rsidP="0043617E">
      <w:pPr>
        <w:autoSpaceDE w:val="0"/>
        <w:autoSpaceDN w:val="0"/>
        <w:adjustRightInd w:val="0"/>
        <w:jc w:val="both"/>
        <w:rPr>
          <w:color w:val="000000" w:themeColor="text1"/>
          <w:sz w:val="20"/>
          <w:szCs w:val="20"/>
        </w:rPr>
      </w:pPr>
      <w:r>
        <w:rPr>
          <w:color w:val="000000" w:themeColor="text1"/>
          <w:sz w:val="20"/>
          <w:szCs w:val="20"/>
        </w:rPr>
        <w:t xml:space="preserve">It is worth highlighting that to reduce LO phase noise </w:t>
      </w:r>
      <w:r w:rsidR="00526D92">
        <w:rPr>
          <w:color w:val="000000" w:themeColor="text1"/>
          <w:sz w:val="20"/>
          <w:szCs w:val="20"/>
        </w:rPr>
        <w:t>which may be the bottleneck</w:t>
      </w:r>
      <w:r>
        <w:rPr>
          <w:color w:val="000000" w:themeColor="text1"/>
          <w:sz w:val="20"/>
          <w:szCs w:val="20"/>
        </w:rPr>
        <w:t>, a great deal of effort is needed based on our investigation. And even with improved phase noise, it is still challenging to improve other sources.</w:t>
      </w:r>
    </w:p>
    <w:p w14:paraId="7248512E" w14:textId="11CE326F" w:rsidR="0043617E" w:rsidRDefault="0043617E" w:rsidP="004B380E">
      <w:pPr>
        <w:autoSpaceDE w:val="0"/>
        <w:autoSpaceDN w:val="0"/>
        <w:adjustRightInd w:val="0"/>
        <w:jc w:val="both"/>
        <w:rPr>
          <w:color w:val="000000" w:themeColor="text1"/>
          <w:sz w:val="20"/>
          <w:szCs w:val="20"/>
        </w:rPr>
      </w:pPr>
    </w:p>
    <w:p w14:paraId="7C1FB281" w14:textId="682073D4" w:rsidR="00A16391" w:rsidRDefault="0043617E" w:rsidP="0043617E">
      <w:pPr>
        <w:spacing w:before="100" w:beforeAutospacing="1" w:after="100"/>
        <w:rPr>
          <w:b/>
          <w:bCs/>
          <w:i/>
          <w:iCs/>
          <w:color w:val="000000" w:themeColor="text1"/>
          <w:sz w:val="20"/>
          <w:szCs w:val="20"/>
        </w:rPr>
      </w:pPr>
      <w:r>
        <w:rPr>
          <w:b/>
          <w:bCs/>
          <w:i/>
          <w:iCs/>
          <w:color w:val="000000" w:themeColor="text1"/>
          <w:sz w:val="20"/>
          <w:szCs w:val="20"/>
        </w:rPr>
        <w:t>Observation 1</w:t>
      </w:r>
      <w:r w:rsidRPr="004B4345">
        <w:rPr>
          <w:b/>
          <w:bCs/>
          <w:i/>
          <w:iCs/>
          <w:color w:val="000000" w:themeColor="text1"/>
          <w:sz w:val="20"/>
          <w:szCs w:val="20"/>
        </w:rPr>
        <w:t xml:space="preserve">: </w:t>
      </w:r>
      <w:r>
        <w:rPr>
          <w:b/>
          <w:bCs/>
          <w:i/>
          <w:iCs/>
          <w:color w:val="000000" w:themeColor="text1"/>
          <w:sz w:val="20"/>
          <w:szCs w:val="20"/>
        </w:rPr>
        <w:t xml:space="preserve">It is very challenging to support UE RX EVM </w:t>
      </w:r>
      <w:r w:rsidR="00F77125">
        <w:rPr>
          <w:b/>
          <w:bCs/>
          <w:i/>
          <w:iCs/>
          <w:color w:val="000000" w:themeColor="text1"/>
          <w:sz w:val="20"/>
          <w:szCs w:val="20"/>
        </w:rPr>
        <w:t>around</w:t>
      </w:r>
      <w:r>
        <w:rPr>
          <w:b/>
          <w:bCs/>
          <w:i/>
          <w:iCs/>
          <w:color w:val="000000" w:themeColor="text1"/>
          <w:sz w:val="20"/>
          <w:szCs w:val="20"/>
        </w:rPr>
        <w:t xml:space="preserve"> 1.26%. </w:t>
      </w:r>
    </w:p>
    <w:p w14:paraId="23C26201" w14:textId="77777777" w:rsidR="00245F93" w:rsidRDefault="00245F93" w:rsidP="0043617E">
      <w:pPr>
        <w:spacing w:before="100" w:beforeAutospacing="1" w:after="100"/>
        <w:rPr>
          <w:b/>
          <w:bCs/>
          <w:i/>
          <w:iCs/>
          <w:color w:val="000000" w:themeColor="text1"/>
          <w:sz w:val="20"/>
          <w:szCs w:val="20"/>
        </w:rPr>
      </w:pPr>
    </w:p>
    <w:p w14:paraId="0D693B09" w14:textId="78C7A455" w:rsidR="00245F93" w:rsidRPr="002821E7" w:rsidRDefault="00245F93" w:rsidP="00245F93">
      <w:pPr>
        <w:pStyle w:val="Heading2"/>
      </w:pPr>
      <w:r>
        <w:t>2.</w:t>
      </w:r>
      <w:r>
        <w:t>3 EVM split between BS and UE</w:t>
      </w:r>
    </w:p>
    <w:p w14:paraId="0B432E11" w14:textId="1F4AA246" w:rsidR="00245F93" w:rsidRPr="00245F93" w:rsidRDefault="00245F93" w:rsidP="0043617E">
      <w:pPr>
        <w:spacing w:before="100" w:beforeAutospacing="1" w:after="100"/>
        <w:rPr>
          <w:color w:val="000000" w:themeColor="text1"/>
          <w:sz w:val="20"/>
          <w:szCs w:val="20"/>
        </w:rPr>
      </w:pPr>
      <w:r w:rsidRPr="00245F93">
        <w:rPr>
          <w:color w:val="000000" w:themeColor="text1"/>
          <w:sz w:val="20"/>
          <w:szCs w:val="20"/>
        </w:rPr>
        <w:t xml:space="preserve">The current specification assumes a symmetric EVM split between BS and UE, which does not reflect the significant hardware capability differences between UE and BS. The BS hardware benefits from superior PA linearity, lower phase noise, and relaxed size and power constraints, while UEs face fundamental limitations due to battery, thermal, and cost constraints. An asymmetric EVM split where BS Tx EVM requirements are tightened and UE Tx EVM requirements are relaxed would better </w:t>
      </w:r>
      <w:proofErr w:type="spellStart"/>
      <w:r w:rsidRPr="00245F93">
        <w:rPr>
          <w:color w:val="000000" w:themeColor="text1"/>
          <w:sz w:val="20"/>
          <w:szCs w:val="20"/>
        </w:rPr>
        <w:t>utilise</w:t>
      </w:r>
      <w:proofErr w:type="spellEnd"/>
      <w:r w:rsidRPr="00245F93">
        <w:rPr>
          <w:color w:val="000000" w:themeColor="text1"/>
          <w:sz w:val="20"/>
          <w:szCs w:val="20"/>
        </w:rPr>
        <w:t xml:space="preserve"> the different hardware capabilities of BS and UE while preserving overall system performance. This approach could improve UL coverage through reduced MPR and facilitate industry-wide adoption of higher-order modulations such as 1024QAM and 4096QAM. The detailed technical analysis and specific proposals are provided in our contribution </w:t>
      </w:r>
      <w:r>
        <w:rPr>
          <w:color w:val="000000" w:themeColor="text1"/>
          <w:sz w:val="20"/>
          <w:szCs w:val="20"/>
        </w:rPr>
        <w:t>[4]</w:t>
      </w:r>
      <w:r w:rsidRPr="00245F93">
        <w:rPr>
          <w:color w:val="000000" w:themeColor="text1"/>
          <w:sz w:val="20"/>
          <w:szCs w:val="20"/>
        </w:rPr>
        <w:t>.</w:t>
      </w:r>
    </w:p>
    <w:p w14:paraId="63B63586" w14:textId="77777777" w:rsidR="009E1B5E" w:rsidRPr="004B4345" w:rsidRDefault="009E1B5E" w:rsidP="00435B44">
      <w:pPr>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0CCE7DB3"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w:t>
      </w:r>
      <w:r w:rsidR="00D37763">
        <w:rPr>
          <w:color w:val="000000" w:themeColor="text1"/>
          <w:sz w:val="20"/>
          <w:szCs w:val="20"/>
        </w:rPr>
        <w:t xml:space="preserve">6G modulation </w:t>
      </w:r>
      <w:r w:rsidR="00A33664">
        <w:rPr>
          <w:color w:val="000000" w:themeColor="text1"/>
          <w:sz w:val="20"/>
          <w:szCs w:val="20"/>
        </w:rPr>
        <w:t xml:space="preserve">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68B8F0DA" w14:textId="77777777" w:rsidR="00D37763" w:rsidRPr="009654D0" w:rsidRDefault="00D37763" w:rsidP="00D37763">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1</w:t>
      </w:r>
      <w:r w:rsidRPr="004B4345">
        <w:rPr>
          <w:b/>
          <w:bCs/>
          <w:i/>
          <w:iCs/>
          <w:color w:val="000000" w:themeColor="text1"/>
          <w:sz w:val="20"/>
          <w:szCs w:val="20"/>
        </w:rPr>
        <w:t xml:space="preserve">: It is proposed to </w:t>
      </w:r>
      <w:r w:rsidRPr="009654D0">
        <w:rPr>
          <w:b/>
          <w:bCs/>
          <w:i/>
          <w:iCs/>
          <w:color w:val="000000" w:themeColor="text1"/>
          <w:sz w:val="20"/>
          <w:szCs w:val="20"/>
        </w:rPr>
        <w:t xml:space="preserve">consider the following </w:t>
      </w:r>
      <w:r>
        <w:rPr>
          <w:b/>
          <w:bCs/>
          <w:i/>
          <w:iCs/>
          <w:color w:val="000000" w:themeColor="text1"/>
          <w:sz w:val="20"/>
          <w:szCs w:val="20"/>
        </w:rPr>
        <w:t xml:space="preserve">modulation schemes </w:t>
      </w:r>
      <w:r w:rsidRPr="009654D0">
        <w:rPr>
          <w:b/>
          <w:bCs/>
          <w:i/>
          <w:iCs/>
          <w:color w:val="000000" w:themeColor="text1"/>
          <w:sz w:val="20"/>
          <w:szCs w:val="20"/>
        </w:rPr>
        <w:t xml:space="preserve">as </w:t>
      </w:r>
      <w:r>
        <w:rPr>
          <w:b/>
          <w:bCs/>
          <w:i/>
          <w:iCs/>
          <w:color w:val="000000" w:themeColor="text1"/>
          <w:sz w:val="20"/>
          <w:szCs w:val="20"/>
        </w:rPr>
        <w:t>a starting point</w:t>
      </w:r>
      <w:r w:rsidRPr="009654D0">
        <w:rPr>
          <w:b/>
          <w:bCs/>
          <w:i/>
          <w:iCs/>
          <w:color w:val="000000" w:themeColor="text1"/>
          <w:sz w:val="20"/>
          <w:szCs w:val="20"/>
        </w:rPr>
        <w:t xml:space="preserve"> for 6G:</w:t>
      </w:r>
    </w:p>
    <w:p w14:paraId="19FCB736" w14:textId="77777777" w:rsidR="00D37763" w:rsidRPr="009654D0" w:rsidRDefault="00D37763" w:rsidP="00D37763">
      <w:pPr>
        <w:pStyle w:val="ListParagraph"/>
        <w:numPr>
          <w:ilvl w:val="0"/>
          <w:numId w:val="58"/>
        </w:numPr>
        <w:spacing w:before="100" w:beforeAutospacing="1" w:after="100"/>
        <w:rPr>
          <w:b/>
          <w:bCs/>
          <w:i/>
          <w:iCs/>
          <w:color w:val="000000" w:themeColor="text1"/>
          <w:sz w:val="20"/>
          <w:szCs w:val="20"/>
        </w:rPr>
      </w:pPr>
      <w:r w:rsidRPr="009654D0">
        <w:rPr>
          <w:b/>
          <w:bCs/>
          <w:i/>
          <w:iCs/>
          <w:color w:val="000000" w:themeColor="text1"/>
          <w:sz w:val="20"/>
          <w:szCs w:val="20"/>
        </w:rPr>
        <w:t>UL: up to 256 QAM</w:t>
      </w:r>
    </w:p>
    <w:p w14:paraId="0F0D4832" w14:textId="77777777" w:rsidR="00D37763" w:rsidRPr="009654D0" w:rsidRDefault="00D37763" w:rsidP="00D37763">
      <w:pPr>
        <w:pStyle w:val="ListParagraph"/>
        <w:numPr>
          <w:ilvl w:val="0"/>
          <w:numId w:val="58"/>
        </w:numPr>
        <w:spacing w:before="100" w:beforeAutospacing="1" w:after="100"/>
        <w:rPr>
          <w:b/>
          <w:bCs/>
          <w:i/>
          <w:iCs/>
          <w:color w:val="000000" w:themeColor="text1"/>
          <w:sz w:val="20"/>
          <w:szCs w:val="20"/>
        </w:rPr>
      </w:pPr>
      <w:r w:rsidRPr="009654D0">
        <w:rPr>
          <w:b/>
          <w:bCs/>
          <w:i/>
          <w:iCs/>
          <w:color w:val="000000" w:themeColor="text1"/>
          <w:sz w:val="20"/>
          <w:szCs w:val="20"/>
        </w:rPr>
        <w:t>DL: up to 1024QAM</w:t>
      </w:r>
    </w:p>
    <w:p w14:paraId="0B9754C6" w14:textId="77777777" w:rsidR="00D37763" w:rsidRDefault="00D37763" w:rsidP="00D37763">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2</w:t>
      </w:r>
      <w:r w:rsidRPr="004B4345">
        <w:rPr>
          <w:b/>
          <w:bCs/>
          <w:i/>
          <w:iCs/>
          <w:color w:val="000000" w:themeColor="text1"/>
          <w:sz w:val="20"/>
          <w:szCs w:val="20"/>
        </w:rPr>
        <w:t xml:space="preserve">: </w:t>
      </w:r>
      <w:r>
        <w:rPr>
          <w:b/>
          <w:bCs/>
          <w:i/>
          <w:iCs/>
          <w:color w:val="000000" w:themeColor="text1"/>
          <w:sz w:val="20"/>
          <w:szCs w:val="20"/>
        </w:rPr>
        <w:t>The</w:t>
      </w:r>
      <w:r w:rsidRPr="00DA5212">
        <w:rPr>
          <w:b/>
          <w:bCs/>
          <w:i/>
          <w:iCs/>
          <w:color w:val="000000" w:themeColor="text1"/>
          <w:sz w:val="20"/>
          <w:szCs w:val="20"/>
        </w:rPr>
        <w:t xml:space="preserve"> modulation schemes </w:t>
      </w:r>
      <w:r>
        <w:rPr>
          <w:b/>
          <w:bCs/>
          <w:i/>
          <w:iCs/>
          <w:color w:val="000000" w:themeColor="text1"/>
          <w:sz w:val="20"/>
          <w:szCs w:val="20"/>
        </w:rPr>
        <w:t>are</w:t>
      </w:r>
      <w:r w:rsidRPr="00DA5212">
        <w:rPr>
          <w:b/>
          <w:bCs/>
          <w:i/>
          <w:iCs/>
          <w:color w:val="000000" w:themeColor="text1"/>
          <w:sz w:val="20"/>
          <w:szCs w:val="20"/>
        </w:rPr>
        <w:t xml:space="preserve"> studied with 200MHz CBW in ~7GHz to identify any issues or challenges, including the potential use of a new PA model.</w:t>
      </w:r>
    </w:p>
    <w:p w14:paraId="0A2DCE6F" w14:textId="77777777" w:rsidR="00D37763" w:rsidRPr="009654D0" w:rsidRDefault="00D37763" w:rsidP="00D37763">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3</w:t>
      </w:r>
      <w:r w:rsidRPr="004B4345">
        <w:rPr>
          <w:b/>
          <w:bCs/>
          <w:i/>
          <w:iCs/>
          <w:color w:val="000000" w:themeColor="text1"/>
          <w:sz w:val="20"/>
          <w:szCs w:val="20"/>
        </w:rPr>
        <w:t xml:space="preserve">: </w:t>
      </w:r>
      <w:r>
        <w:rPr>
          <w:b/>
          <w:bCs/>
          <w:i/>
          <w:iCs/>
          <w:color w:val="000000" w:themeColor="text1"/>
          <w:sz w:val="20"/>
          <w:szCs w:val="20"/>
        </w:rPr>
        <w:t xml:space="preserve">It is proposed to limit the support of UL 1024QAM to FWA UE and further discuss how the existing 2.5% or 2.8% EVM requirements can be met. </w:t>
      </w:r>
    </w:p>
    <w:p w14:paraId="7A4CB7FA" w14:textId="77777777" w:rsidR="00D37763" w:rsidRPr="009654D0" w:rsidRDefault="00D37763" w:rsidP="00D37763">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4</w:t>
      </w:r>
      <w:r w:rsidRPr="004B4345">
        <w:rPr>
          <w:b/>
          <w:bCs/>
          <w:i/>
          <w:iCs/>
          <w:color w:val="000000" w:themeColor="text1"/>
          <w:sz w:val="20"/>
          <w:szCs w:val="20"/>
        </w:rPr>
        <w:t xml:space="preserve">: </w:t>
      </w:r>
      <w:r>
        <w:rPr>
          <w:b/>
          <w:bCs/>
          <w:i/>
          <w:iCs/>
          <w:color w:val="000000" w:themeColor="text1"/>
          <w:sz w:val="20"/>
          <w:szCs w:val="20"/>
        </w:rPr>
        <w:t>It is proposed to understand the potential gain of supporting 4096QAM in real field.</w:t>
      </w:r>
    </w:p>
    <w:p w14:paraId="1156794F" w14:textId="06481BEB" w:rsidR="00D37763" w:rsidRPr="0043617E" w:rsidRDefault="00D37763" w:rsidP="00D37763">
      <w:pPr>
        <w:spacing w:before="100" w:beforeAutospacing="1" w:after="100"/>
        <w:rPr>
          <w:b/>
          <w:bCs/>
          <w:i/>
          <w:iCs/>
          <w:color w:val="000000" w:themeColor="text1"/>
          <w:sz w:val="20"/>
          <w:szCs w:val="20"/>
        </w:rPr>
      </w:pPr>
      <w:r>
        <w:rPr>
          <w:b/>
          <w:bCs/>
          <w:i/>
          <w:iCs/>
          <w:color w:val="000000" w:themeColor="text1"/>
          <w:sz w:val="20"/>
          <w:szCs w:val="20"/>
        </w:rPr>
        <w:t>Observation 1</w:t>
      </w:r>
      <w:r w:rsidRPr="004B4345">
        <w:rPr>
          <w:b/>
          <w:bCs/>
          <w:i/>
          <w:iCs/>
          <w:color w:val="000000" w:themeColor="text1"/>
          <w:sz w:val="20"/>
          <w:szCs w:val="20"/>
        </w:rPr>
        <w:t xml:space="preserve">: </w:t>
      </w:r>
      <w:r>
        <w:rPr>
          <w:b/>
          <w:bCs/>
          <w:i/>
          <w:iCs/>
          <w:color w:val="000000" w:themeColor="text1"/>
          <w:sz w:val="20"/>
          <w:szCs w:val="20"/>
        </w:rPr>
        <w:t xml:space="preserve">It is very challenging to support UE RX EVM </w:t>
      </w:r>
      <w:r w:rsidR="004822DB">
        <w:rPr>
          <w:b/>
          <w:bCs/>
          <w:i/>
          <w:iCs/>
          <w:color w:val="000000" w:themeColor="text1"/>
          <w:sz w:val="20"/>
          <w:szCs w:val="20"/>
        </w:rPr>
        <w:t>around</w:t>
      </w:r>
      <w:r>
        <w:rPr>
          <w:b/>
          <w:bCs/>
          <w:i/>
          <w:iCs/>
          <w:color w:val="000000" w:themeColor="text1"/>
          <w:sz w:val="20"/>
          <w:szCs w:val="20"/>
        </w:rPr>
        <w:t xml:space="preserve"> 1.26%. </w:t>
      </w:r>
    </w:p>
    <w:p w14:paraId="09F5BEA1" w14:textId="77777777" w:rsidR="00D37763" w:rsidRPr="009654D0" w:rsidRDefault="00D37763" w:rsidP="00D37763">
      <w:pPr>
        <w:spacing w:before="100" w:beforeAutospacing="1" w:after="100"/>
        <w:rPr>
          <w:b/>
          <w:bCs/>
          <w:i/>
          <w:iCs/>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7B658516" w14:textId="77777777" w:rsidR="0032477F" w:rsidRPr="00DD3794" w:rsidRDefault="0032477F" w:rsidP="0032477F">
      <w:pPr>
        <w:pStyle w:val="EX"/>
        <w:rPr>
          <w:color w:val="000000" w:themeColor="text1"/>
          <w:sz w:val="20"/>
          <w:szCs w:val="20"/>
        </w:rPr>
      </w:pPr>
      <w:bookmarkStart w:id="1" w:name="_Ref13820109"/>
      <w:bookmarkEnd w:id="0"/>
      <w:r w:rsidRPr="004B4345">
        <w:rPr>
          <w:color w:val="000000" w:themeColor="text1"/>
          <w:sz w:val="20"/>
          <w:szCs w:val="20"/>
        </w:rPr>
        <w:t>R4-2</w:t>
      </w:r>
      <w:r>
        <w:rPr>
          <w:color w:val="000000" w:themeColor="text1"/>
          <w:sz w:val="20"/>
          <w:szCs w:val="20"/>
        </w:rPr>
        <w:t>522450</w:t>
      </w:r>
      <w:r w:rsidRPr="004B4345">
        <w:rPr>
          <w:color w:val="000000" w:themeColor="text1"/>
          <w:sz w:val="20"/>
          <w:szCs w:val="20"/>
        </w:rPr>
        <w:t>, "</w:t>
      </w:r>
      <w:r w:rsidRPr="00012A6F">
        <w:rPr>
          <w:color w:val="000000" w:themeColor="text1"/>
          <w:sz w:val="20"/>
          <w:szCs w:val="20"/>
        </w:rPr>
        <w:t>WF for 6GR system parameter</w:t>
      </w:r>
      <w:r w:rsidRPr="004B4345">
        <w:rPr>
          <w:color w:val="000000" w:themeColor="text1"/>
          <w:sz w:val="20"/>
          <w:szCs w:val="20"/>
        </w:rPr>
        <w:t xml:space="preserve">," </w:t>
      </w:r>
      <w:bookmarkEnd w:id="1"/>
      <w:r w:rsidRPr="00012A6F">
        <w:rPr>
          <w:color w:val="000000" w:themeColor="text1"/>
          <w:sz w:val="20"/>
          <w:szCs w:val="20"/>
        </w:rPr>
        <w:t xml:space="preserve">Feature lead (Huawei, </w:t>
      </w:r>
      <w:proofErr w:type="spellStart"/>
      <w:r w:rsidRPr="00012A6F">
        <w:rPr>
          <w:color w:val="000000" w:themeColor="text1"/>
          <w:sz w:val="20"/>
          <w:szCs w:val="20"/>
        </w:rPr>
        <w:t>HiSilicon</w:t>
      </w:r>
      <w:proofErr w:type="spellEnd"/>
      <w:r w:rsidRPr="00012A6F">
        <w:rPr>
          <w:color w:val="000000" w:themeColor="text1"/>
          <w:sz w:val="20"/>
          <w:szCs w:val="20"/>
        </w:rPr>
        <w:t>)</w:t>
      </w:r>
    </w:p>
    <w:p w14:paraId="38B10458" w14:textId="04436566" w:rsidR="00BB01C3" w:rsidRPr="00DD3794" w:rsidRDefault="00BB01C3" w:rsidP="00BB01C3">
      <w:pPr>
        <w:pStyle w:val="EX"/>
        <w:rPr>
          <w:color w:val="000000" w:themeColor="text1"/>
          <w:sz w:val="20"/>
          <w:szCs w:val="20"/>
        </w:rPr>
      </w:pPr>
      <w:r w:rsidRPr="004B4345">
        <w:rPr>
          <w:color w:val="000000" w:themeColor="text1"/>
          <w:sz w:val="20"/>
          <w:szCs w:val="20"/>
        </w:rPr>
        <w:t>R4-2</w:t>
      </w:r>
      <w:r>
        <w:rPr>
          <w:color w:val="000000" w:themeColor="text1"/>
          <w:sz w:val="20"/>
          <w:szCs w:val="20"/>
        </w:rPr>
        <w:t>520964</w:t>
      </w:r>
      <w:r w:rsidRPr="004B4345">
        <w:rPr>
          <w:color w:val="000000" w:themeColor="text1"/>
          <w:sz w:val="20"/>
          <w:szCs w:val="20"/>
        </w:rPr>
        <w:t>, "</w:t>
      </w:r>
      <w:r w:rsidRPr="00BB01C3">
        <w:rPr>
          <w:color w:val="000000" w:themeColor="text1"/>
          <w:sz w:val="20"/>
          <w:szCs w:val="20"/>
        </w:rPr>
        <w:t>Views on 6G modulation</w:t>
      </w:r>
      <w:r w:rsidRPr="004B4345">
        <w:rPr>
          <w:color w:val="000000" w:themeColor="text1"/>
          <w:sz w:val="20"/>
          <w:szCs w:val="20"/>
        </w:rPr>
        <w:t xml:space="preserve">," </w:t>
      </w:r>
      <w:r>
        <w:rPr>
          <w:color w:val="000000" w:themeColor="text1"/>
          <w:sz w:val="20"/>
          <w:szCs w:val="20"/>
        </w:rPr>
        <w:t>MediaTek</w:t>
      </w:r>
    </w:p>
    <w:p w14:paraId="16445F87" w14:textId="2F65B8DF" w:rsidR="005F613D" w:rsidRDefault="0004550F" w:rsidP="002811C8">
      <w:pPr>
        <w:pStyle w:val="EX"/>
        <w:rPr>
          <w:color w:val="000000" w:themeColor="text1"/>
          <w:sz w:val="20"/>
          <w:szCs w:val="20"/>
        </w:rPr>
      </w:pPr>
      <w:r w:rsidRPr="004B4345">
        <w:rPr>
          <w:color w:val="000000" w:themeColor="text1"/>
          <w:sz w:val="20"/>
          <w:szCs w:val="20"/>
        </w:rPr>
        <w:t>R4-2</w:t>
      </w:r>
      <w:r>
        <w:rPr>
          <w:color w:val="000000" w:themeColor="text1"/>
          <w:sz w:val="20"/>
          <w:szCs w:val="20"/>
        </w:rPr>
        <w:t>520426</w:t>
      </w:r>
      <w:r w:rsidRPr="004B4345">
        <w:rPr>
          <w:color w:val="000000" w:themeColor="text1"/>
          <w:sz w:val="20"/>
          <w:szCs w:val="20"/>
        </w:rPr>
        <w:t>, "</w:t>
      </w:r>
      <w:r w:rsidRPr="0004550F">
        <w:rPr>
          <w:color w:val="000000" w:themeColor="text1"/>
          <w:sz w:val="20"/>
          <w:szCs w:val="20"/>
        </w:rPr>
        <w:t>Discussion on 6GR modulation</w:t>
      </w:r>
      <w:r w:rsidRPr="004B4345">
        <w:rPr>
          <w:color w:val="000000" w:themeColor="text1"/>
          <w:sz w:val="20"/>
          <w:szCs w:val="20"/>
        </w:rPr>
        <w:t xml:space="preserve">," </w:t>
      </w:r>
      <w:r>
        <w:rPr>
          <w:color w:val="000000" w:themeColor="text1"/>
          <w:sz w:val="20"/>
          <w:szCs w:val="20"/>
        </w:rPr>
        <w:t>CMCC</w:t>
      </w:r>
    </w:p>
    <w:p w14:paraId="49AAEA64" w14:textId="797E8B87" w:rsidR="00245F93" w:rsidRDefault="00245F93" w:rsidP="00245F93">
      <w:pPr>
        <w:pStyle w:val="EX"/>
        <w:rPr>
          <w:color w:val="000000" w:themeColor="text1"/>
          <w:sz w:val="20"/>
          <w:szCs w:val="20"/>
        </w:rPr>
      </w:pPr>
      <w:r w:rsidRPr="00245F93">
        <w:rPr>
          <w:color w:val="000000" w:themeColor="text1"/>
          <w:sz w:val="20"/>
          <w:szCs w:val="20"/>
        </w:rPr>
        <w:t>R4-2600148</w:t>
      </w:r>
      <w:r w:rsidRPr="004B4345">
        <w:rPr>
          <w:color w:val="000000" w:themeColor="text1"/>
          <w:sz w:val="20"/>
          <w:szCs w:val="20"/>
        </w:rPr>
        <w:t>, "</w:t>
      </w:r>
      <w:r w:rsidR="00B82CD3" w:rsidRPr="00B82CD3">
        <w:rPr>
          <w:color w:val="000000" w:themeColor="text1"/>
          <w:sz w:val="20"/>
          <w:szCs w:val="20"/>
        </w:rPr>
        <w:t>Views on 6G joint UE-BS RF and spectrum aggregation</w:t>
      </w:r>
      <w:r w:rsidRPr="004B4345">
        <w:rPr>
          <w:color w:val="000000" w:themeColor="text1"/>
          <w:sz w:val="20"/>
          <w:szCs w:val="20"/>
        </w:rPr>
        <w:t xml:space="preserve">," </w:t>
      </w:r>
      <w:r w:rsidR="00B82CD3">
        <w:rPr>
          <w:color w:val="000000" w:themeColor="text1"/>
          <w:sz w:val="20"/>
          <w:szCs w:val="20"/>
        </w:rPr>
        <w:t>Apple</w:t>
      </w:r>
    </w:p>
    <w:p w14:paraId="589957D4" w14:textId="77777777" w:rsidR="00245F93" w:rsidRPr="002811C8" w:rsidRDefault="00245F93" w:rsidP="00245F93">
      <w:pPr>
        <w:pStyle w:val="EX"/>
        <w:numPr>
          <w:ilvl w:val="0"/>
          <w:numId w:val="0"/>
        </w:numPr>
        <w:ind w:left="369"/>
        <w:rPr>
          <w:color w:val="000000" w:themeColor="text1"/>
          <w:sz w:val="20"/>
          <w:szCs w:val="20"/>
        </w:rPr>
      </w:pPr>
    </w:p>
    <w:sectPr w:rsidR="00245F93" w:rsidRPr="002811C8" w:rsidSect="00DF2649">
      <w:headerReference w:type="defaul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F5CE3" w14:textId="77777777" w:rsidR="005E6494" w:rsidRDefault="005E6494">
      <w:r>
        <w:separator/>
      </w:r>
    </w:p>
  </w:endnote>
  <w:endnote w:type="continuationSeparator" w:id="0">
    <w:p w14:paraId="1CF68D65" w14:textId="77777777" w:rsidR="005E6494" w:rsidRDefault="005E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68747" w14:textId="77777777" w:rsidR="005E6494" w:rsidRDefault="005E6494">
      <w:r>
        <w:separator/>
      </w:r>
    </w:p>
  </w:footnote>
  <w:footnote w:type="continuationSeparator" w:id="0">
    <w:p w14:paraId="5C32E835" w14:textId="77777777" w:rsidR="005E6494" w:rsidRDefault="005E6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842CF"/>
    <w:multiLevelType w:val="hybridMultilevel"/>
    <w:tmpl w:val="7844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14676"/>
    <w:multiLevelType w:val="hybridMultilevel"/>
    <w:tmpl w:val="DD20D8D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CE2D36"/>
    <w:multiLevelType w:val="hybridMultilevel"/>
    <w:tmpl w:val="4BB4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E203D4"/>
    <w:multiLevelType w:val="hybridMultilevel"/>
    <w:tmpl w:val="1B061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751471"/>
    <w:multiLevelType w:val="hybridMultilevel"/>
    <w:tmpl w:val="9DD20B7A"/>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A5316"/>
    <w:multiLevelType w:val="hybridMultilevel"/>
    <w:tmpl w:val="62C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1"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4" w15:restartNumberingAfterBreak="0">
    <w:nsid w:val="60433CB9"/>
    <w:multiLevelType w:val="hybridMultilevel"/>
    <w:tmpl w:val="A364C4E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59"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4"/>
  </w:num>
  <w:num w:numId="4" w16cid:durableId="671496524">
    <w:abstractNumId w:val="55"/>
  </w:num>
  <w:num w:numId="5" w16cid:durableId="1501116029">
    <w:abstractNumId w:val="5"/>
  </w:num>
  <w:num w:numId="6" w16cid:durableId="1775780724">
    <w:abstractNumId w:val="5"/>
  </w:num>
  <w:num w:numId="7" w16cid:durableId="2004430155">
    <w:abstractNumId w:val="34"/>
  </w:num>
  <w:num w:numId="8" w16cid:durableId="820000239">
    <w:abstractNumId w:val="9"/>
  </w:num>
  <w:num w:numId="9" w16cid:durableId="1418207271">
    <w:abstractNumId w:val="40"/>
  </w:num>
  <w:num w:numId="10" w16cid:durableId="1583371418">
    <w:abstractNumId w:val="53"/>
  </w:num>
  <w:num w:numId="11" w16cid:durableId="654532386">
    <w:abstractNumId w:val="20"/>
  </w:num>
  <w:num w:numId="12" w16cid:durableId="1304584639">
    <w:abstractNumId w:val="17"/>
  </w:num>
  <w:num w:numId="13" w16cid:durableId="721171787">
    <w:abstractNumId w:val="15"/>
  </w:num>
  <w:num w:numId="14" w16cid:durableId="1592349769">
    <w:abstractNumId w:val="52"/>
  </w:num>
  <w:num w:numId="15" w16cid:durableId="278998918">
    <w:abstractNumId w:val="28"/>
  </w:num>
  <w:num w:numId="16" w16cid:durableId="434713335">
    <w:abstractNumId w:val="49"/>
  </w:num>
  <w:num w:numId="17" w16cid:durableId="1786650561">
    <w:abstractNumId w:val="29"/>
  </w:num>
  <w:num w:numId="18" w16cid:durableId="119229966">
    <w:abstractNumId w:val="10"/>
  </w:num>
  <w:num w:numId="19" w16cid:durableId="773282714">
    <w:abstractNumId w:val="36"/>
  </w:num>
  <w:num w:numId="20" w16cid:durableId="1943295931">
    <w:abstractNumId w:val="1"/>
  </w:num>
  <w:num w:numId="21" w16cid:durableId="721640857">
    <w:abstractNumId w:val="60"/>
  </w:num>
  <w:num w:numId="22" w16cid:durableId="1167212164">
    <w:abstractNumId w:val="61"/>
  </w:num>
  <w:num w:numId="23" w16cid:durableId="240023206">
    <w:abstractNumId w:val="37"/>
  </w:num>
  <w:num w:numId="24" w16cid:durableId="191648044">
    <w:abstractNumId w:val="19"/>
  </w:num>
  <w:num w:numId="25" w16cid:durableId="473066965">
    <w:abstractNumId w:val="35"/>
  </w:num>
  <w:num w:numId="26" w16cid:durableId="1489638411">
    <w:abstractNumId w:val="31"/>
  </w:num>
  <w:num w:numId="27" w16cid:durableId="1422525457">
    <w:abstractNumId w:val="30"/>
  </w:num>
  <w:num w:numId="28" w16cid:durableId="653946618">
    <w:abstractNumId w:val="6"/>
  </w:num>
  <w:num w:numId="29" w16cid:durableId="1543327048">
    <w:abstractNumId w:val="63"/>
  </w:num>
  <w:num w:numId="30" w16cid:durableId="991716118">
    <w:abstractNumId w:val="26"/>
  </w:num>
  <w:num w:numId="31" w16cid:durableId="737675157">
    <w:abstractNumId w:val="27"/>
  </w:num>
  <w:num w:numId="32" w16cid:durableId="526335178">
    <w:abstractNumId w:val="16"/>
  </w:num>
  <w:num w:numId="33" w16cid:durableId="557739517">
    <w:abstractNumId w:val="38"/>
  </w:num>
  <w:num w:numId="34" w16cid:durableId="1264847130">
    <w:abstractNumId w:val="58"/>
  </w:num>
  <w:num w:numId="35" w16cid:durableId="371812856">
    <w:abstractNumId w:val="41"/>
  </w:num>
  <w:num w:numId="36" w16cid:durableId="1489981921">
    <w:abstractNumId w:val="50"/>
  </w:num>
  <w:num w:numId="37" w16cid:durableId="612204437">
    <w:abstractNumId w:val="44"/>
  </w:num>
  <w:num w:numId="38" w16cid:durableId="62991483">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51"/>
  </w:num>
  <w:num w:numId="40" w16cid:durableId="1103039994">
    <w:abstractNumId w:val="46"/>
  </w:num>
  <w:num w:numId="41" w16cid:durableId="606161233">
    <w:abstractNumId w:val="11"/>
  </w:num>
  <w:num w:numId="42" w16cid:durableId="377362836">
    <w:abstractNumId w:val="7"/>
  </w:num>
  <w:num w:numId="43" w16cid:durableId="1526678661">
    <w:abstractNumId w:val="56"/>
  </w:num>
  <w:num w:numId="44" w16cid:durableId="381178554">
    <w:abstractNumId w:val="42"/>
  </w:num>
  <w:num w:numId="45" w16cid:durableId="2124416032">
    <w:abstractNumId w:val="62"/>
  </w:num>
  <w:num w:numId="46" w16cid:durableId="1835757643">
    <w:abstractNumId w:val="43"/>
  </w:num>
  <w:num w:numId="47" w16cid:durableId="4943661">
    <w:abstractNumId w:val="13"/>
  </w:num>
  <w:num w:numId="48" w16cid:durableId="1357266428">
    <w:abstractNumId w:val="18"/>
  </w:num>
  <w:num w:numId="49" w16cid:durableId="1788550428">
    <w:abstractNumId w:val="33"/>
  </w:num>
  <w:num w:numId="50" w16cid:durableId="182089614">
    <w:abstractNumId w:val="57"/>
  </w:num>
  <w:num w:numId="51" w16cid:durableId="921649103">
    <w:abstractNumId w:val="21"/>
  </w:num>
  <w:num w:numId="52" w16cid:durableId="347830390">
    <w:abstractNumId w:val="14"/>
  </w:num>
  <w:num w:numId="53" w16cid:durableId="568005214">
    <w:abstractNumId w:val="47"/>
  </w:num>
  <w:num w:numId="54" w16cid:durableId="518351422">
    <w:abstractNumId w:val="22"/>
  </w:num>
  <w:num w:numId="55" w16cid:durableId="1858960949">
    <w:abstractNumId w:val="8"/>
  </w:num>
  <w:num w:numId="56" w16cid:durableId="79640673">
    <w:abstractNumId w:val="12"/>
  </w:num>
  <w:num w:numId="57" w16cid:durableId="739912304">
    <w:abstractNumId w:val="32"/>
  </w:num>
  <w:num w:numId="58" w16cid:durableId="1340155676">
    <w:abstractNumId w:val="39"/>
  </w:num>
  <w:num w:numId="59" w16cid:durableId="348871077">
    <w:abstractNumId w:val="25"/>
  </w:num>
  <w:num w:numId="60" w16cid:durableId="1081148213">
    <w:abstractNumId w:val="23"/>
  </w:num>
  <w:num w:numId="61" w16cid:durableId="425853507">
    <w:abstractNumId w:val="54"/>
  </w:num>
  <w:num w:numId="62" w16cid:durableId="1103653499">
    <w:abstractNumId w:val="45"/>
  </w:num>
  <w:num w:numId="63" w16cid:durableId="1223711788">
    <w:abstractNumId w:val="64"/>
  </w:num>
  <w:num w:numId="64" w16cid:durableId="1213426144">
    <w:abstractNumId w:val="2"/>
  </w:num>
  <w:num w:numId="65" w16cid:durableId="1021787086">
    <w:abstractNumId w:val="3"/>
  </w:num>
  <w:num w:numId="66" w16cid:durableId="906303641">
    <w:abstractNumId w:val="48"/>
  </w:num>
  <w:num w:numId="67" w16cid:durableId="158541376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AC"/>
    <w:rsid w:val="00001B86"/>
    <w:rsid w:val="00002C14"/>
    <w:rsid w:val="00003844"/>
    <w:rsid w:val="0000450B"/>
    <w:rsid w:val="00011C66"/>
    <w:rsid w:val="000129A5"/>
    <w:rsid w:val="00012A37"/>
    <w:rsid w:val="00012A6F"/>
    <w:rsid w:val="00021563"/>
    <w:rsid w:val="00022507"/>
    <w:rsid w:val="000262F6"/>
    <w:rsid w:val="00026BD3"/>
    <w:rsid w:val="00027A50"/>
    <w:rsid w:val="00033397"/>
    <w:rsid w:val="00034883"/>
    <w:rsid w:val="00040095"/>
    <w:rsid w:val="000438C2"/>
    <w:rsid w:val="0004550F"/>
    <w:rsid w:val="00046768"/>
    <w:rsid w:val="0004681A"/>
    <w:rsid w:val="00051834"/>
    <w:rsid w:val="000528BC"/>
    <w:rsid w:val="000532B7"/>
    <w:rsid w:val="0005477E"/>
    <w:rsid w:val="00054A22"/>
    <w:rsid w:val="00060F87"/>
    <w:rsid w:val="00061F9F"/>
    <w:rsid w:val="00062023"/>
    <w:rsid w:val="00063A26"/>
    <w:rsid w:val="000655A6"/>
    <w:rsid w:val="00077697"/>
    <w:rsid w:val="00080512"/>
    <w:rsid w:val="00082A83"/>
    <w:rsid w:val="0009500A"/>
    <w:rsid w:val="00096CD8"/>
    <w:rsid w:val="00097885"/>
    <w:rsid w:val="000A365D"/>
    <w:rsid w:val="000A46CB"/>
    <w:rsid w:val="000A46E7"/>
    <w:rsid w:val="000A6245"/>
    <w:rsid w:val="000A68F3"/>
    <w:rsid w:val="000B4E6A"/>
    <w:rsid w:val="000B7599"/>
    <w:rsid w:val="000C47C3"/>
    <w:rsid w:val="000D08EF"/>
    <w:rsid w:val="000D2AB6"/>
    <w:rsid w:val="000D2C4B"/>
    <w:rsid w:val="000D58AB"/>
    <w:rsid w:val="000D7878"/>
    <w:rsid w:val="000E2674"/>
    <w:rsid w:val="000E3702"/>
    <w:rsid w:val="000F0104"/>
    <w:rsid w:val="000F1D2A"/>
    <w:rsid w:val="000F2378"/>
    <w:rsid w:val="000F3400"/>
    <w:rsid w:val="000F42F7"/>
    <w:rsid w:val="000F4BE8"/>
    <w:rsid w:val="000F5D71"/>
    <w:rsid w:val="00101278"/>
    <w:rsid w:val="00101EB9"/>
    <w:rsid w:val="00104BC6"/>
    <w:rsid w:val="00112A20"/>
    <w:rsid w:val="00112D80"/>
    <w:rsid w:val="00114E2C"/>
    <w:rsid w:val="00125033"/>
    <w:rsid w:val="00127D11"/>
    <w:rsid w:val="00130305"/>
    <w:rsid w:val="00130B69"/>
    <w:rsid w:val="00130E71"/>
    <w:rsid w:val="001319D7"/>
    <w:rsid w:val="00133525"/>
    <w:rsid w:val="00134E23"/>
    <w:rsid w:val="00135619"/>
    <w:rsid w:val="001501C8"/>
    <w:rsid w:val="00152010"/>
    <w:rsid w:val="00153E23"/>
    <w:rsid w:val="00155EA5"/>
    <w:rsid w:val="001613D8"/>
    <w:rsid w:val="001620A7"/>
    <w:rsid w:val="00162A8A"/>
    <w:rsid w:val="00165302"/>
    <w:rsid w:val="00165DE1"/>
    <w:rsid w:val="00171166"/>
    <w:rsid w:val="00180253"/>
    <w:rsid w:val="00182F98"/>
    <w:rsid w:val="0019040A"/>
    <w:rsid w:val="00191964"/>
    <w:rsid w:val="00193F04"/>
    <w:rsid w:val="001A1513"/>
    <w:rsid w:val="001A2F3F"/>
    <w:rsid w:val="001A4201"/>
    <w:rsid w:val="001A4C42"/>
    <w:rsid w:val="001B71DD"/>
    <w:rsid w:val="001C21C3"/>
    <w:rsid w:val="001C565C"/>
    <w:rsid w:val="001D02C2"/>
    <w:rsid w:val="001D0D15"/>
    <w:rsid w:val="001D3883"/>
    <w:rsid w:val="001D69B8"/>
    <w:rsid w:val="001E56AE"/>
    <w:rsid w:val="001E6A20"/>
    <w:rsid w:val="001E78C8"/>
    <w:rsid w:val="001F0C1D"/>
    <w:rsid w:val="001F1132"/>
    <w:rsid w:val="001F1534"/>
    <w:rsid w:val="001F168B"/>
    <w:rsid w:val="001F4795"/>
    <w:rsid w:val="00200761"/>
    <w:rsid w:val="00205685"/>
    <w:rsid w:val="00210943"/>
    <w:rsid w:val="002110E6"/>
    <w:rsid w:val="00211302"/>
    <w:rsid w:val="00217AB6"/>
    <w:rsid w:val="00223E60"/>
    <w:rsid w:val="00224531"/>
    <w:rsid w:val="00224D35"/>
    <w:rsid w:val="00225E3F"/>
    <w:rsid w:val="0022629D"/>
    <w:rsid w:val="0023088C"/>
    <w:rsid w:val="002347A2"/>
    <w:rsid w:val="002371CD"/>
    <w:rsid w:val="002419B9"/>
    <w:rsid w:val="00245AEF"/>
    <w:rsid w:val="00245F93"/>
    <w:rsid w:val="0024741D"/>
    <w:rsid w:val="00247926"/>
    <w:rsid w:val="00253356"/>
    <w:rsid w:val="002535FE"/>
    <w:rsid w:val="00254E0F"/>
    <w:rsid w:val="00255247"/>
    <w:rsid w:val="002557C8"/>
    <w:rsid w:val="00257A99"/>
    <w:rsid w:val="002600B9"/>
    <w:rsid w:val="00261DE3"/>
    <w:rsid w:val="00262167"/>
    <w:rsid w:val="002654F1"/>
    <w:rsid w:val="002675F0"/>
    <w:rsid w:val="00276EE4"/>
    <w:rsid w:val="00280618"/>
    <w:rsid w:val="002808D2"/>
    <w:rsid w:val="002811C8"/>
    <w:rsid w:val="00281AB7"/>
    <w:rsid w:val="002821E7"/>
    <w:rsid w:val="002833D5"/>
    <w:rsid w:val="00285094"/>
    <w:rsid w:val="002868F0"/>
    <w:rsid w:val="00287B8F"/>
    <w:rsid w:val="00292223"/>
    <w:rsid w:val="00295219"/>
    <w:rsid w:val="002A1D5F"/>
    <w:rsid w:val="002A23E7"/>
    <w:rsid w:val="002A4E8C"/>
    <w:rsid w:val="002A5644"/>
    <w:rsid w:val="002A7133"/>
    <w:rsid w:val="002B2D3F"/>
    <w:rsid w:val="002B35C9"/>
    <w:rsid w:val="002B378B"/>
    <w:rsid w:val="002B6339"/>
    <w:rsid w:val="002B74F3"/>
    <w:rsid w:val="002C35E5"/>
    <w:rsid w:val="002C4813"/>
    <w:rsid w:val="002C5840"/>
    <w:rsid w:val="002D16F1"/>
    <w:rsid w:val="002D22D9"/>
    <w:rsid w:val="002D4863"/>
    <w:rsid w:val="002D56F3"/>
    <w:rsid w:val="002D6F19"/>
    <w:rsid w:val="002E00EE"/>
    <w:rsid w:val="002E02CD"/>
    <w:rsid w:val="002F1AB0"/>
    <w:rsid w:val="002F21F4"/>
    <w:rsid w:val="002F4794"/>
    <w:rsid w:val="002F5216"/>
    <w:rsid w:val="00300ACF"/>
    <w:rsid w:val="00300BA9"/>
    <w:rsid w:val="00301868"/>
    <w:rsid w:val="00302BBC"/>
    <w:rsid w:val="00303F37"/>
    <w:rsid w:val="003046F8"/>
    <w:rsid w:val="00305D70"/>
    <w:rsid w:val="00307031"/>
    <w:rsid w:val="003107C2"/>
    <w:rsid w:val="00313A57"/>
    <w:rsid w:val="003172DC"/>
    <w:rsid w:val="00324314"/>
    <w:rsid w:val="0032477F"/>
    <w:rsid w:val="003272DF"/>
    <w:rsid w:val="00333996"/>
    <w:rsid w:val="003348D2"/>
    <w:rsid w:val="00334987"/>
    <w:rsid w:val="0033606D"/>
    <w:rsid w:val="00336438"/>
    <w:rsid w:val="0033652B"/>
    <w:rsid w:val="003378AE"/>
    <w:rsid w:val="0034052F"/>
    <w:rsid w:val="00340CDF"/>
    <w:rsid w:val="0034273B"/>
    <w:rsid w:val="00345425"/>
    <w:rsid w:val="0034735C"/>
    <w:rsid w:val="00350001"/>
    <w:rsid w:val="0035000F"/>
    <w:rsid w:val="003523D8"/>
    <w:rsid w:val="0035462D"/>
    <w:rsid w:val="00356ADD"/>
    <w:rsid w:val="00357075"/>
    <w:rsid w:val="003650C3"/>
    <w:rsid w:val="0036620E"/>
    <w:rsid w:val="00370A9A"/>
    <w:rsid w:val="00371558"/>
    <w:rsid w:val="0037264F"/>
    <w:rsid w:val="00374E2E"/>
    <w:rsid w:val="003765B8"/>
    <w:rsid w:val="00384F83"/>
    <w:rsid w:val="003912EB"/>
    <w:rsid w:val="00392336"/>
    <w:rsid w:val="00392980"/>
    <w:rsid w:val="003A0483"/>
    <w:rsid w:val="003A408A"/>
    <w:rsid w:val="003B264E"/>
    <w:rsid w:val="003B4652"/>
    <w:rsid w:val="003B662D"/>
    <w:rsid w:val="003C1BFF"/>
    <w:rsid w:val="003C208D"/>
    <w:rsid w:val="003C257C"/>
    <w:rsid w:val="003C3971"/>
    <w:rsid w:val="003C3C9E"/>
    <w:rsid w:val="003C4D69"/>
    <w:rsid w:val="003C5507"/>
    <w:rsid w:val="003D12B4"/>
    <w:rsid w:val="003D37E2"/>
    <w:rsid w:val="003D4522"/>
    <w:rsid w:val="003E2C78"/>
    <w:rsid w:val="003E3139"/>
    <w:rsid w:val="003E7753"/>
    <w:rsid w:val="003F07E3"/>
    <w:rsid w:val="003F5675"/>
    <w:rsid w:val="003F6060"/>
    <w:rsid w:val="003F6793"/>
    <w:rsid w:val="0040110C"/>
    <w:rsid w:val="0040183E"/>
    <w:rsid w:val="00402D6C"/>
    <w:rsid w:val="0040522E"/>
    <w:rsid w:val="00406929"/>
    <w:rsid w:val="0041089F"/>
    <w:rsid w:val="00412687"/>
    <w:rsid w:val="0041280B"/>
    <w:rsid w:val="004165BB"/>
    <w:rsid w:val="00423334"/>
    <w:rsid w:val="00424397"/>
    <w:rsid w:val="00424E79"/>
    <w:rsid w:val="0042630D"/>
    <w:rsid w:val="0042668D"/>
    <w:rsid w:val="0042695D"/>
    <w:rsid w:val="004273BD"/>
    <w:rsid w:val="00430001"/>
    <w:rsid w:val="00432DF1"/>
    <w:rsid w:val="00434447"/>
    <w:rsid w:val="004345EC"/>
    <w:rsid w:val="00434879"/>
    <w:rsid w:val="0043539B"/>
    <w:rsid w:val="00435B44"/>
    <w:rsid w:val="0043617E"/>
    <w:rsid w:val="00437582"/>
    <w:rsid w:val="004406A5"/>
    <w:rsid w:val="00441ED1"/>
    <w:rsid w:val="00442E80"/>
    <w:rsid w:val="004436D8"/>
    <w:rsid w:val="00443B1F"/>
    <w:rsid w:val="004454A5"/>
    <w:rsid w:val="0044586F"/>
    <w:rsid w:val="00445952"/>
    <w:rsid w:val="00446EBE"/>
    <w:rsid w:val="00447B7C"/>
    <w:rsid w:val="00447E12"/>
    <w:rsid w:val="00452D22"/>
    <w:rsid w:val="00455635"/>
    <w:rsid w:val="00466AA8"/>
    <w:rsid w:val="00472C04"/>
    <w:rsid w:val="004735B3"/>
    <w:rsid w:val="00474601"/>
    <w:rsid w:val="00475109"/>
    <w:rsid w:val="0048182A"/>
    <w:rsid w:val="00481F56"/>
    <w:rsid w:val="004822DB"/>
    <w:rsid w:val="004826A9"/>
    <w:rsid w:val="004837BD"/>
    <w:rsid w:val="00485B6A"/>
    <w:rsid w:val="00487424"/>
    <w:rsid w:val="0049016F"/>
    <w:rsid w:val="00492FF7"/>
    <w:rsid w:val="0049650C"/>
    <w:rsid w:val="004A26BF"/>
    <w:rsid w:val="004A603D"/>
    <w:rsid w:val="004A6B02"/>
    <w:rsid w:val="004B0ECB"/>
    <w:rsid w:val="004B2CBA"/>
    <w:rsid w:val="004B380E"/>
    <w:rsid w:val="004B4345"/>
    <w:rsid w:val="004B503E"/>
    <w:rsid w:val="004C15C7"/>
    <w:rsid w:val="004C1601"/>
    <w:rsid w:val="004C1B3B"/>
    <w:rsid w:val="004C21DF"/>
    <w:rsid w:val="004C5265"/>
    <w:rsid w:val="004D3578"/>
    <w:rsid w:val="004D6380"/>
    <w:rsid w:val="004E0E90"/>
    <w:rsid w:val="004E213A"/>
    <w:rsid w:val="004E3C97"/>
    <w:rsid w:val="004E48FD"/>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45A5"/>
    <w:rsid w:val="005157F0"/>
    <w:rsid w:val="00515C6C"/>
    <w:rsid w:val="00520120"/>
    <w:rsid w:val="005204B4"/>
    <w:rsid w:val="0052244D"/>
    <w:rsid w:val="0052286C"/>
    <w:rsid w:val="00525B0E"/>
    <w:rsid w:val="00526D92"/>
    <w:rsid w:val="005273BE"/>
    <w:rsid w:val="005274EC"/>
    <w:rsid w:val="00530E08"/>
    <w:rsid w:val="0053173F"/>
    <w:rsid w:val="005324C2"/>
    <w:rsid w:val="0053388B"/>
    <w:rsid w:val="0053438A"/>
    <w:rsid w:val="00535773"/>
    <w:rsid w:val="00537C54"/>
    <w:rsid w:val="00542052"/>
    <w:rsid w:val="0054259C"/>
    <w:rsid w:val="00542865"/>
    <w:rsid w:val="00543E6C"/>
    <w:rsid w:val="00547C3C"/>
    <w:rsid w:val="00551342"/>
    <w:rsid w:val="00554CE1"/>
    <w:rsid w:val="00555534"/>
    <w:rsid w:val="0056116C"/>
    <w:rsid w:val="00562380"/>
    <w:rsid w:val="00562505"/>
    <w:rsid w:val="00562844"/>
    <w:rsid w:val="00565087"/>
    <w:rsid w:val="00570BB2"/>
    <w:rsid w:val="0057261C"/>
    <w:rsid w:val="00572E14"/>
    <w:rsid w:val="00575F0D"/>
    <w:rsid w:val="00582450"/>
    <w:rsid w:val="005930E6"/>
    <w:rsid w:val="005973BE"/>
    <w:rsid w:val="005A5986"/>
    <w:rsid w:val="005A63EE"/>
    <w:rsid w:val="005B1F1B"/>
    <w:rsid w:val="005B365D"/>
    <w:rsid w:val="005B3CCF"/>
    <w:rsid w:val="005C11FD"/>
    <w:rsid w:val="005C2A4F"/>
    <w:rsid w:val="005C30C1"/>
    <w:rsid w:val="005C4000"/>
    <w:rsid w:val="005C422A"/>
    <w:rsid w:val="005C6CA2"/>
    <w:rsid w:val="005C7C46"/>
    <w:rsid w:val="005D2E01"/>
    <w:rsid w:val="005D6CEF"/>
    <w:rsid w:val="005D7526"/>
    <w:rsid w:val="005E4E1C"/>
    <w:rsid w:val="005E6494"/>
    <w:rsid w:val="005E69AE"/>
    <w:rsid w:val="005F22A6"/>
    <w:rsid w:val="005F4B4C"/>
    <w:rsid w:val="005F4CDD"/>
    <w:rsid w:val="005F613D"/>
    <w:rsid w:val="005F6269"/>
    <w:rsid w:val="005F6DF3"/>
    <w:rsid w:val="005F7BC0"/>
    <w:rsid w:val="006021D4"/>
    <w:rsid w:val="00602AEA"/>
    <w:rsid w:val="006043ED"/>
    <w:rsid w:val="0060672A"/>
    <w:rsid w:val="00607E3C"/>
    <w:rsid w:val="00610C4E"/>
    <w:rsid w:val="00614D20"/>
    <w:rsid w:val="00614FDF"/>
    <w:rsid w:val="00616654"/>
    <w:rsid w:val="00617D24"/>
    <w:rsid w:val="00623C82"/>
    <w:rsid w:val="006246A7"/>
    <w:rsid w:val="0062595A"/>
    <w:rsid w:val="00631211"/>
    <w:rsid w:val="00632B45"/>
    <w:rsid w:val="00633224"/>
    <w:rsid w:val="006343D6"/>
    <w:rsid w:val="006344F1"/>
    <w:rsid w:val="0063543D"/>
    <w:rsid w:val="006425C3"/>
    <w:rsid w:val="006426A7"/>
    <w:rsid w:val="00643869"/>
    <w:rsid w:val="006446B1"/>
    <w:rsid w:val="006453C7"/>
    <w:rsid w:val="006459B5"/>
    <w:rsid w:val="00647114"/>
    <w:rsid w:val="00650EB8"/>
    <w:rsid w:val="006552DD"/>
    <w:rsid w:val="00657FE0"/>
    <w:rsid w:val="00662A4B"/>
    <w:rsid w:val="0066731C"/>
    <w:rsid w:val="00667E83"/>
    <w:rsid w:val="00667F98"/>
    <w:rsid w:val="00671ABA"/>
    <w:rsid w:val="006753FB"/>
    <w:rsid w:val="006759E6"/>
    <w:rsid w:val="00675E2D"/>
    <w:rsid w:val="006814AF"/>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34A"/>
    <w:rsid w:val="006C3D95"/>
    <w:rsid w:val="006C4C56"/>
    <w:rsid w:val="006C638F"/>
    <w:rsid w:val="006C79D3"/>
    <w:rsid w:val="006D11F6"/>
    <w:rsid w:val="006D1E99"/>
    <w:rsid w:val="006D4CE9"/>
    <w:rsid w:val="006D73A8"/>
    <w:rsid w:val="006E3141"/>
    <w:rsid w:val="006E5154"/>
    <w:rsid w:val="006E5C86"/>
    <w:rsid w:val="006F1736"/>
    <w:rsid w:val="006F71F4"/>
    <w:rsid w:val="007050B3"/>
    <w:rsid w:val="00705538"/>
    <w:rsid w:val="007059D9"/>
    <w:rsid w:val="007060EB"/>
    <w:rsid w:val="00713AD9"/>
    <w:rsid w:val="00713C44"/>
    <w:rsid w:val="00716570"/>
    <w:rsid w:val="0072198A"/>
    <w:rsid w:val="00723A44"/>
    <w:rsid w:val="00724D1D"/>
    <w:rsid w:val="00726A73"/>
    <w:rsid w:val="00734A5B"/>
    <w:rsid w:val="0074026F"/>
    <w:rsid w:val="00741491"/>
    <w:rsid w:val="007420D3"/>
    <w:rsid w:val="007429F6"/>
    <w:rsid w:val="00742B5A"/>
    <w:rsid w:val="00744E76"/>
    <w:rsid w:val="0074723D"/>
    <w:rsid w:val="00752198"/>
    <w:rsid w:val="00753881"/>
    <w:rsid w:val="00753F44"/>
    <w:rsid w:val="00754A6B"/>
    <w:rsid w:val="007569E9"/>
    <w:rsid w:val="00756A33"/>
    <w:rsid w:val="00756E2A"/>
    <w:rsid w:val="007615CA"/>
    <w:rsid w:val="00762483"/>
    <w:rsid w:val="0076512C"/>
    <w:rsid w:val="00767917"/>
    <w:rsid w:val="00771937"/>
    <w:rsid w:val="0077432F"/>
    <w:rsid w:val="00774DA4"/>
    <w:rsid w:val="00777FBD"/>
    <w:rsid w:val="00781F0F"/>
    <w:rsid w:val="00782783"/>
    <w:rsid w:val="00784D3A"/>
    <w:rsid w:val="007851C1"/>
    <w:rsid w:val="00786D37"/>
    <w:rsid w:val="00787148"/>
    <w:rsid w:val="0079072F"/>
    <w:rsid w:val="00791FEE"/>
    <w:rsid w:val="00796398"/>
    <w:rsid w:val="007B1903"/>
    <w:rsid w:val="007B2F1E"/>
    <w:rsid w:val="007B36D1"/>
    <w:rsid w:val="007B462B"/>
    <w:rsid w:val="007B4BDA"/>
    <w:rsid w:val="007B5DD0"/>
    <w:rsid w:val="007B600E"/>
    <w:rsid w:val="007B6355"/>
    <w:rsid w:val="007C4A4E"/>
    <w:rsid w:val="007C6A12"/>
    <w:rsid w:val="007C7710"/>
    <w:rsid w:val="007D5172"/>
    <w:rsid w:val="007D53B3"/>
    <w:rsid w:val="007D5A1C"/>
    <w:rsid w:val="007D73F5"/>
    <w:rsid w:val="007D7C65"/>
    <w:rsid w:val="007D7D88"/>
    <w:rsid w:val="007E2E4B"/>
    <w:rsid w:val="007E3EB8"/>
    <w:rsid w:val="007E6293"/>
    <w:rsid w:val="007E738A"/>
    <w:rsid w:val="007F0F4A"/>
    <w:rsid w:val="008028A4"/>
    <w:rsid w:val="00803440"/>
    <w:rsid w:val="008038C2"/>
    <w:rsid w:val="00810E8D"/>
    <w:rsid w:val="00811EA5"/>
    <w:rsid w:val="00815588"/>
    <w:rsid w:val="008169B3"/>
    <w:rsid w:val="00820B25"/>
    <w:rsid w:val="00820E0F"/>
    <w:rsid w:val="00821AEF"/>
    <w:rsid w:val="00826E3B"/>
    <w:rsid w:val="008274F4"/>
    <w:rsid w:val="00830747"/>
    <w:rsid w:val="00831A72"/>
    <w:rsid w:val="00833358"/>
    <w:rsid w:val="008340FF"/>
    <w:rsid w:val="008366FC"/>
    <w:rsid w:val="00841896"/>
    <w:rsid w:val="0084389E"/>
    <w:rsid w:val="00843B15"/>
    <w:rsid w:val="00845B02"/>
    <w:rsid w:val="00853468"/>
    <w:rsid w:val="00854DFA"/>
    <w:rsid w:val="008559EF"/>
    <w:rsid w:val="008569D0"/>
    <w:rsid w:val="008574C6"/>
    <w:rsid w:val="00861CEC"/>
    <w:rsid w:val="00863A2E"/>
    <w:rsid w:val="00864E87"/>
    <w:rsid w:val="00872F7D"/>
    <w:rsid w:val="00874924"/>
    <w:rsid w:val="008768CA"/>
    <w:rsid w:val="0088083B"/>
    <w:rsid w:val="008826B0"/>
    <w:rsid w:val="008A479E"/>
    <w:rsid w:val="008A4AFA"/>
    <w:rsid w:val="008A54F8"/>
    <w:rsid w:val="008A5EFF"/>
    <w:rsid w:val="008B2D3A"/>
    <w:rsid w:val="008C0EF3"/>
    <w:rsid w:val="008C1634"/>
    <w:rsid w:val="008C384C"/>
    <w:rsid w:val="008C4A39"/>
    <w:rsid w:val="008D125E"/>
    <w:rsid w:val="008D3F18"/>
    <w:rsid w:val="008E112D"/>
    <w:rsid w:val="008E4082"/>
    <w:rsid w:val="008E734D"/>
    <w:rsid w:val="008E7986"/>
    <w:rsid w:val="008F15A3"/>
    <w:rsid w:val="008F1BA6"/>
    <w:rsid w:val="008F3834"/>
    <w:rsid w:val="008F490D"/>
    <w:rsid w:val="008F6E7F"/>
    <w:rsid w:val="00900AA6"/>
    <w:rsid w:val="00900C26"/>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1E75"/>
    <w:rsid w:val="0093257B"/>
    <w:rsid w:val="00933446"/>
    <w:rsid w:val="009349F2"/>
    <w:rsid w:val="00934EFF"/>
    <w:rsid w:val="00935B71"/>
    <w:rsid w:val="009426F4"/>
    <w:rsid w:val="00942EC2"/>
    <w:rsid w:val="00945505"/>
    <w:rsid w:val="009458FF"/>
    <w:rsid w:val="00947ADF"/>
    <w:rsid w:val="00947F73"/>
    <w:rsid w:val="00951260"/>
    <w:rsid w:val="009518F8"/>
    <w:rsid w:val="009545A1"/>
    <w:rsid w:val="00963CE0"/>
    <w:rsid w:val="009648C8"/>
    <w:rsid w:val="009653C7"/>
    <w:rsid w:val="009654D0"/>
    <w:rsid w:val="00965ADE"/>
    <w:rsid w:val="009670D0"/>
    <w:rsid w:val="00970E90"/>
    <w:rsid w:val="00973019"/>
    <w:rsid w:val="009750A6"/>
    <w:rsid w:val="0097658C"/>
    <w:rsid w:val="00981FF2"/>
    <w:rsid w:val="009876B4"/>
    <w:rsid w:val="00991277"/>
    <w:rsid w:val="00991C1A"/>
    <w:rsid w:val="00993851"/>
    <w:rsid w:val="00996A36"/>
    <w:rsid w:val="009A0207"/>
    <w:rsid w:val="009A371E"/>
    <w:rsid w:val="009A758A"/>
    <w:rsid w:val="009B0900"/>
    <w:rsid w:val="009B308E"/>
    <w:rsid w:val="009B54B4"/>
    <w:rsid w:val="009C0326"/>
    <w:rsid w:val="009C2C1B"/>
    <w:rsid w:val="009C412B"/>
    <w:rsid w:val="009C47B5"/>
    <w:rsid w:val="009D09A9"/>
    <w:rsid w:val="009D181E"/>
    <w:rsid w:val="009D2536"/>
    <w:rsid w:val="009E0885"/>
    <w:rsid w:val="009E1B5E"/>
    <w:rsid w:val="009E4AB1"/>
    <w:rsid w:val="009E52C0"/>
    <w:rsid w:val="009F0D9E"/>
    <w:rsid w:val="009F237D"/>
    <w:rsid w:val="009F2F14"/>
    <w:rsid w:val="009F37B7"/>
    <w:rsid w:val="009F4887"/>
    <w:rsid w:val="009F5E43"/>
    <w:rsid w:val="00A00FD0"/>
    <w:rsid w:val="00A03460"/>
    <w:rsid w:val="00A051F0"/>
    <w:rsid w:val="00A07446"/>
    <w:rsid w:val="00A10F02"/>
    <w:rsid w:val="00A152D7"/>
    <w:rsid w:val="00A16391"/>
    <w:rsid w:val="00A164B4"/>
    <w:rsid w:val="00A22731"/>
    <w:rsid w:val="00A22938"/>
    <w:rsid w:val="00A241A7"/>
    <w:rsid w:val="00A255D6"/>
    <w:rsid w:val="00A2564E"/>
    <w:rsid w:val="00A26956"/>
    <w:rsid w:val="00A33664"/>
    <w:rsid w:val="00A33E80"/>
    <w:rsid w:val="00A37271"/>
    <w:rsid w:val="00A41A75"/>
    <w:rsid w:val="00A4303F"/>
    <w:rsid w:val="00A44B59"/>
    <w:rsid w:val="00A47362"/>
    <w:rsid w:val="00A52134"/>
    <w:rsid w:val="00A53724"/>
    <w:rsid w:val="00A5526E"/>
    <w:rsid w:val="00A6183F"/>
    <w:rsid w:val="00A634C2"/>
    <w:rsid w:val="00A66A04"/>
    <w:rsid w:val="00A73129"/>
    <w:rsid w:val="00A76978"/>
    <w:rsid w:val="00A76F2E"/>
    <w:rsid w:val="00A77110"/>
    <w:rsid w:val="00A813F0"/>
    <w:rsid w:val="00A82346"/>
    <w:rsid w:val="00A82D1F"/>
    <w:rsid w:val="00A82E7D"/>
    <w:rsid w:val="00A8668F"/>
    <w:rsid w:val="00A9153E"/>
    <w:rsid w:val="00A91EAD"/>
    <w:rsid w:val="00A92BA1"/>
    <w:rsid w:val="00A94937"/>
    <w:rsid w:val="00A951A7"/>
    <w:rsid w:val="00AA36B1"/>
    <w:rsid w:val="00AB1652"/>
    <w:rsid w:val="00AB5C31"/>
    <w:rsid w:val="00AB7F3B"/>
    <w:rsid w:val="00AC0039"/>
    <w:rsid w:val="00AC135F"/>
    <w:rsid w:val="00AC3AC2"/>
    <w:rsid w:val="00AC4BA4"/>
    <w:rsid w:val="00AC515C"/>
    <w:rsid w:val="00AC54B7"/>
    <w:rsid w:val="00AC6BC6"/>
    <w:rsid w:val="00AC6D1E"/>
    <w:rsid w:val="00AD106D"/>
    <w:rsid w:val="00AD2973"/>
    <w:rsid w:val="00AD47EE"/>
    <w:rsid w:val="00AD5C3F"/>
    <w:rsid w:val="00AD5DD7"/>
    <w:rsid w:val="00AE03D3"/>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11C3"/>
    <w:rsid w:val="00B13F54"/>
    <w:rsid w:val="00B15441"/>
    <w:rsid w:val="00B15449"/>
    <w:rsid w:val="00B15669"/>
    <w:rsid w:val="00B16019"/>
    <w:rsid w:val="00B16451"/>
    <w:rsid w:val="00B211C1"/>
    <w:rsid w:val="00B27217"/>
    <w:rsid w:val="00B27C15"/>
    <w:rsid w:val="00B30C77"/>
    <w:rsid w:val="00B32270"/>
    <w:rsid w:val="00B3320D"/>
    <w:rsid w:val="00B3654C"/>
    <w:rsid w:val="00B379A7"/>
    <w:rsid w:val="00B4129B"/>
    <w:rsid w:val="00B43A3F"/>
    <w:rsid w:val="00B44E1F"/>
    <w:rsid w:val="00B4615A"/>
    <w:rsid w:val="00B51D01"/>
    <w:rsid w:val="00B54EBB"/>
    <w:rsid w:val="00B57489"/>
    <w:rsid w:val="00B60B51"/>
    <w:rsid w:val="00B61BF9"/>
    <w:rsid w:val="00B61C24"/>
    <w:rsid w:val="00B61EEA"/>
    <w:rsid w:val="00B620CD"/>
    <w:rsid w:val="00B62DE3"/>
    <w:rsid w:val="00B650A3"/>
    <w:rsid w:val="00B745B2"/>
    <w:rsid w:val="00B75594"/>
    <w:rsid w:val="00B763CA"/>
    <w:rsid w:val="00B774BF"/>
    <w:rsid w:val="00B77748"/>
    <w:rsid w:val="00B80CD4"/>
    <w:rsid w:val="00B81FF3"/>
    <w:rsid w:val="00B826B2"/>
    <w:rsid w:val="00B82CD3"/>
    <w:rsid w:val="00B83171"/>
    <w:rsid w:val="00B838F7"/>
    <w:rsid w:val="00B913A1"/>
    <w:rsid w:val="00B92FC7"/>
    <w:rsid w:val="00B93086"/>
    <w:rsid w:val="00B976C4"/>
    <w:rsid w:val="00BA19ED"/>
    <w:rsid w:val="00BA1B6A"/>
    <w:rsid w:val="00BA300B"/>
    <w:rsid w:val="00BA3547"/>
    <w:rsid w:val="00BA3792"/>
    <w:rsid w:val="00BA4B8D"/>
    <w:rsid w:val="00BA59E2"/>
    <w:rsid w:val="00BA76F9"/>
    <w:rsid w:val="00BA7900"/>
    <w:rsid w:val="00BB01C3"/>
    <w:rsid w:val="00BB57B3"/>
    <w:rsid w:val="00BC0F7D"/>
    <w:rsid w:val="00BC3F3E"/>
    <w:rsid w:val="00BC4103"/>
    <w:rsid w:val="00BD07FF"/>
    <w:rsid w:val="00BD31F8"/>
    <w:rsid w:val="00BD69DB"/>
    <w:rsid w:val="00BE2A72"/>
    <w:rsid w:val="00BE3255"/>
    <w:rsid w:val="00BE3B9C"/>
    <w:rsid w:val="00BE5D05"/>
    <w:rsid w:val="00BE6943"/>
    <w:rsid w:val="00BF128E"/>
    <w:rsid w:val="00BF1E1E"/>
    <w:rsid w:val="00C01FDC"/>
    <w:rsid w:val="00C02C5C"/>
    <w:rsid w:val="00C054B3"/>
    <w:rsid w:val="00C14737"/>
    <w:rsid w:val="00C1496A"/>
    <w:rsid w:val="00C15F7F"/>
    <w:rsid w:val="00C16AAF"/>
    <w:rsid w:val="00C2281E"/>
    <w:rsid w:val="00C24837"/>
    <w:rsid w:val="00C25701"/>
    <w:rsid w:val="00C26810"/>
    <w:rsid w:val="00C33079"/>
    <w:rsid w:val="00C34DDA"/>
    <w:rsid w:val="00C353F4"/>
    <w:rsid w:val="00C3626F"/>
    <w:rsid w:val="00C43D5D"/>
    <w:rsid w:val="00C45231"/>
    <w:rsid w:val="00C52135"/>
    <w:rsid w:val="00C63D49"/>
    <w:rsid w:val="00C71A2B"/>
    <w:rsid w:val="00C72833"/>
    <w:rsid w:val="00C7616D"/>
    <w:rsid w:val="00C80F1D"/>
    <w:rsid w:val="00C82174"/>
    <w:rsid w:val="00C83BD4"/>
    <w:rsid w:val="00C93538"/>
    <w:rsid w:val="00C93F40"/>
    <w:rsid w:val="00C95679"/>
    <w:rsid w:val="00C9693D"/>
    <w:rsid w:val="00C969B2"/>
    <w:rsid w:val="00CA3D0C"/>
    <w:rsid w:val="00CA72ED"/>
    <w:rsid w:val="00CA74CE"/>
    <w:rsid w:val="00CB3FB8"/>
    <w:rsid w:val="00CB51CC"/>
    <w:rsid w:val="00CC59FA"/>
    <w:rsid w:val="00CC6366"/>
    <w:rsid w:val="00CD0EA6"/>
    <w:rsid w:val="00CD18B1"/>
    <w:rsid w:val="00CD45C9"/>
    <w:rsid w:val="00CD655A"/>
    <w:rsid w:val="00CD79F4"/>
    <w:rsid w:val="00CE355D"/>
    <w:rsid w:val="00CE4C40"/>
    <w:rsid w:val="00CF20E3"/>
    <w:rsid w:val="00CF432C"/>
    <w:rsid w:val="00CF5997"/>
    <w:rsid w:val="00CF66FA"/>
    <w:rsid w:val="00D008D3"/>
    <w:rsid w:val="00D04514"/>
    <w:rsid w:val="00D05632"/>
    <w:rsid w:val="00D056CA"/>
    <w:rsid w:val="00D06DFD"/>
    <w:rsid w:val="00D0718E"/>
    <w:rsid w:val="00D07C26"/>
    <w:rsid w:val="00D1674E"/>
    <w:rsid w:val="00D17573"/>
    <w:rsid w:val="00D21512"/>
    <w:rsid w:val="00D22C1C"/>
    <w:rsid w:val="00D230BD"/>
    <w:rsid w:val="00D27BB0"/>
    <w:rsid w:val="00D3057E"/>
    <w:rsid w:val="00D309CC"/>
    <w:rsid w:val="00D36FF0"/>
    <w:rsid w:val="00D37763"/>
    <w:rsid w:val="00D40E9C"/>
    <w:rsid w:val="00D41667"/>
    <w:rsid w:val="00D42AC7"/>
    <w:rsid w:val="00D46431"/>
    <w:rsid w:val="00D46F7A"/>
    <w:rsid w:val="00D56A52"/>
    <w:rsid w:val="00D57972"/>
    <w:rsid w:val="00D673CA"/>
    <w:rsid w:val="00D675A9"/>
    <w:rsid w:val="00D733D5"/>
    <w:rsid w:val="00D738D6"/>
    <w:rsid w:val="00D755EB"/>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4C84"/>
    <w:rsid w:val="00DA5212"/>
    <w:rsid w:val="00DA60EC"/>
    <w:rsid w:val="00DA7A03"/>
    <w:rsid w:val="00DB153B"/>
    <w:rsid w:val="00DB1818"/>
    <w:rsid w:val="00DB42E0"/>
    <w:rsid w:val="00DB5EF6"/>
    <w:rsid w:val="00DC11B0"/>
    <w:rsid w:val="00DC2758"/>
    <w:rsid w:val="00DC309B"/>
    <w:rsid w:val="00DC3D44"/>
    <w:rsid w:val="00DC4DA2"/>
    <w:rsid w:val="00DC7727"/>
    <w:rsid w:val="00DD03DF"/>
    <w:rsid w:val="00DD18AC"/>
    <w:rsid w:val="00DD27CF"/>
    <w:rsid w:val="00DD4C17"/>
    <w:rsid w:val="00DD5F57"/>
    <w:rsid w:val="00DE18C7"/>
    <w:rsid w:val="00DE428E"/>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44A6"/>
    <w:rsid w:val="00E14ABD"/>
    <w:rsid w:val="00E1558D"/>
    <w:rsid w:val="00E15BCC"/>
    <w:rsid w:val="00E16486"/>
    <w:rsid w:val="00E16509"/>
    <w:rsid w:val="00E21511"/>
    <w:rsid w:val="00E22E04"/>
    <w:rsid w:val="00E32A7F"/>
    <w:rsid w:val="00E32E87"/>
    <w:rsid w:val="00E37689"/>
    <w:rsid w:val="00E40560"/>
    <w:rsid w:val="00E41341"/>
    <w:rsid w:val="00E442DE"/>
    <w:rsid w:val="00E44582"/>
    <w:rsid w:val="00E45E4A"/>
    <w:rsid w:val="00E52814"/>
    <w:rsid w:val="00E52EB1"/>
    <w:rsid w:val="00E536AA"/>
    <w:rsid w:val="00E5544A"/>
    <w:rsid w:val="00E670FF"/>
    <w:rsid w:val="00E72324"/>
    <w:rsid w:val="00E723B3"/>
    <w:rsid w:val="00E72ABE"/>
    <w:rsid w:val="00E77645"/>
    <w:rsid w:val="00E77D4C"/>
    <w:rsid w:val="00E84530"/>
    <w:rsid w:val="00E87309"/>
    <w:rsid w:val="00E87A96"/>
    <w:rsid w:val="00EA38BE"/>
    <w:rsid w:val="00EA3BA5"/>
    <w:rsid w:val="00EA41D8"/>
    <w:rsid w:val="00EB22F4"/>
    <w:rsid w:val="00EB3105"/>
    <w:rsid w:val="00EC063B"/>
    <w:rsid w:val="00EC3517"/>
    <w:rsid w:val="00EC38A4"/>
    <w:rsid w:val="00EC454E"/>
    <w:rsid w:val="00EC479D"/>
    <w:rsid w:val="00EC4A25"/>
    <w:rsid w:val="00EC777D"/>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3D8B"/>
    <w:rsid w:val="00F04712"/>
    <w:rsid w:val="00F04A63"/>
    <w:rsid w:val="00F04B7B"/>
    <w:rsid w:val="00F05587"/>
    <w:rsid w:val="00F0567B"/>
    <w:rsid w:val="00F064C8"/>
    <w:rsid w:val="00F07B00"/>
    <w:rsid w:val="00F1084D"/>
    <w:rsid w:val="00F12C7B"/>
    <w:rsid w:val="00F1639A"/>
    <w:rsid w:val="00F16E18"/>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4918"/>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77125"/>
    <w:rsid w:val="00F82261"/>
    <w:rsid w:val="00F845F1"/>
    <w:rsid w:val="00F849FE"/>
    <w:rsid w:val="00F94A52"/>
    <w:rsid w:val="00FA1266"/>
    <w:rsid w:val="00FA2910"/>
    <w:rsid w:val="00FA65D0"/>
    <w:rsid w:val="00FB40BC"/>
    <w:rsid w:val="00FB4CD6"/>
    <w:rsid w:val="00FB56EC"/>
    <w:rsid w:val="00FC1192"/>
    <w:rsid w:val="00FC11FC"/>
    <w:rsid w:val="00FC41AB"/>
    <w:rsid w:val="00FC671A"/>
    <w:rsid w:val="00FD1E6E"/>
    <w:rsid w:val="00FD2E2F"/>
    <w:rsid w:val="00FD3696"/>
    <w:rsid w:val="00FE1589"/>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iPriority="35"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 w:type="paragraph" w:styleId="Caption">
    <w:name w:val="caption"/>
    <w:basedOn w:val="Normal"/>
    <w:next w:val="Normal"/>
    <w:uiPriority w:val="35"/>
    <w:qFormat/>
    <w:rsid w:val="0004550F"/>
    <w:pPr>
      <w:overflowPunct w:val="0"/>
      <w:autoSpaceDE w:val="0"/>
      <w:autoSpaceDN w:val="0"/>
      <w:adjustRightInd w:val="0"/>
      <w:spacing w:before="120" w:after="120"/>
      <w:textAlignment w:val="baseline"/>
    </w:pPr>
    <w:rPr>
      <w:rFonts w:eastAsia="MS Mincho"/>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30792">
      <w:marLeft w:val="0"/>
      <w:marRight w:val="0"/>
      <w:marTop w:val="0"/>
      <w:marBottom w:val="0"/>
      <w:divBdr>
        <w:top w:val="none" w:sz="0" w:space="0" w:color="auto"/>
        <w:left w:val="none" w:sz="0" w:space="0" w:color="auto"/>
        <w:bottom w:val="none" w:sz="0" w:space="0" w:color="auto"/>
        <w:right w:val="none" w:sz="0" w:space="0" w:color="auto"/>
      </w:divBdr>
      <w:divsChild>
        <w:div w:id="1155493739">
          <w:marLeft w:val="0"/>
          <w:marRight w:val="0"/>
          <w:marTop w:val="0"/>
          <w:marBottom w:val="0"/>
          <w:divBdr>
            <w:top w:val="none" w:sz="0" w:space="0" w:color="auto"/>
            <w:left w:val="none" w:sz="0" w:space="0" w:color="auto"/>
            <w:bottom w:val="none" w:sz="0" w:space="0" w:color="auto"/>
            <w:right w:val="none" w:sz="0" w:space="0" w:color="auto"/>
          </w:divBdr>
        </w:div>
      </w:divsChild>
    </w:div>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04606416">
      <w:marLeft w:val="0"/>
      <w:marRight w:val="0"/>
      <w:marTop w:val="0"/>
      <w:marBottom w:val="0"/>
      <w:divBdr>
        <w:top w:val="none" w:sz="0" w:space="0" w:color="auto"/>
        <w:left w:val="none" w:sz="0" w:space="0" w:color="auto"/>
        <w:bottom w:val="none" w:sz="0" w:space="0" w:color="auto"/>
        <w:right w:val="none" w:sz="0" w:space="0" w:color="auto"/>
      </w:divBdr>
      <w:divsChild>
        <w:div w:id="1626961989">
          <w:marLeft w:val="0"/>
          <w:marRight w:val="0"/>
          <w:marTop w:val="0"/>
          <w:marBottom w:val="0"/>
          <w:divBdr>
            <w:top w:val="none" w:sz="0" w:space="0" w:color="auto"/>
            <w:left w:val="none" w:sz="0" w:space="0" w:color="auto"/>
            <w:bottom w:val="none" w:sz="0" w:space="0" w:color="auto"/>
            <w:right w:val="none" w:sz="0" w:space="0" w:color="auto"/>
          </w:divBdr>
        </w:div>
      </w:divsChild>
    </w:div>
    <w:div w:id="214121762">
      <w:marLeft w:val="0"/>
      <w:marRight w:val="0"/>
      <w:marTop w:val="0"/>
      <w:marBottom w:val="0"/>
      <w:divBdr>
        <w:top w:val="none" w:sz="0" w:space="0" w:color="auto"/>
        <w:left w:val="none" w:sz="0" w:space="0" w:color="auto"/>
        <w:bottom w:val="none" w:sz="0" w:space="0" w:color="auto"/>
        <w:right w:val="none" w:sz="0" w:space="0" w:color="auto"/>
      </w:divBdr>
      <w:divsChild>
        <w:div w:id="1924098436">
          <w:marLeft w:val="0"/>
          <w:marRight w:val="0"/>
          <w:marTop w:val="0"/>
          <w:marBottom w:val="0"/>
          <w:divBdr>
            <w:top w:val="none" w:sz="0" w:space="0" w:color="auto"/>
            <w:left w:val="none" w:sz="0" w:space="0" w:color="auto"/>
            <w:bottom w:val="none" w:sz="0" w:space="0" w:color="auto"/>
            <w:right w:val="none" w:sz="0" w:space="0" w:color="auto"/>
          </w:divBdr>
        </w:div>
      </w:divsChild>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279991738">
      <w:marLeft w:val="0"/>
      <w:marRight w:val="0"/>
      <w:marTop w:val="0"/>
      <w:marBottom w:val="0"/>
      <w:divBdr>
        <w:top w:val="none" w:sz="0" w:space="0" w:color="auto"/>
        <w:left w:val="none" w:sz="0" w:space="0" w:color="auto"/>
        <w:bottom w:val="none" w:sz="0" w:space="0" w:color="auto"/>
        <w:right w:val="none" w:sz="0" w:space="0" w:color="auto"/>
      </w:divBdr>
      <w:divsChild>
        <w:div w:id="1003239692">
          <w:marLeft w:val="0"/>
          <w:marRight w:val="0"/>
          <w:marTop w:val="0"/>
          <w:marBottom w:val="0"/>
          <w:divBdr>
            <w:top w:val="none" w:sz="0" w:space="0" w:color="auto"/>
            <w:left w:val="none" w:sz="0" w:space="0" w:color="auto"/>
            <w:bottom w:val="none" w:sz="0" w:space="0" w:color="auto"/>
            <w:right w:val="none" w:sz="0" w:space="0" w:color="auto"/>
          </w:divBdr>
        </w:div>
      </w:divsChild>
    </w:div>
    <w:div w:id="351036664">
      <w:marLeft w:val="0"/>
      <w:marRight w:val="0"/>
      <w:marTop w:val="0"/>
      <w:marBottom w:val="0"/>
      <w:divBdr>
        <w:top w:val="none" w:sz="0" w:space="0" w:color="auto"/>
        <w:left w:val="none" w:sz="0" w:space="0" w:color="auto"/>
        <w:bottom w:val="none" w:sz="0" w:space="0" w:color="auto"/>
        <w:right w:val="none" w:sz="0" w:space="0" w:color="auto"/>
      </w:divBdr>
      <w:divsChild>
        <w:div w:id="1435243438">
          <w:marLeft w:val="0"/>
          <w:marRight w:val="0"/>
          <w:marTop w:val="0"/>
          <w:marBottom w:val="0"/>
          <w:divBdr>
            <w:top w:val="none" w:sz="0" w:space="0" w:color="auto"/>
            <w:left w:val="none" w:sz="0" w:space="0" w:color="auto"/>
            <w:bottom w:val="none" w:sz="0" w:space="0" w:color="auto"/>
            <w:right w:val="none" w:sz="0" w:space="0" w:color="auto"/>
          </w:divBdr>
        </w:div>
      </w:divsChild>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584874375">
      <w:marLeft w:val="0"/>
      <w:marRight w:val="0"/>
      <w:marTop w:val="0"/>
      <w:marBottom w:val="0"/>
      <w:divBdr>
        <w:top w:val="none" w:sz="0" w:space="0" w:color="auto"/>
        <w:left w:val="none" w:sz="0" w:space="0" w:color="auto"/>
        <w:bottom w:val="none" w:sz="0" w:space="0" w:color="auto"/>
        <w:right w:val="none" w:sz="0" w:space="0" w:color="auto"/>
      </w:divBdr>
      <w:divsChild>
        <w:div w:id="679894931">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723061376">
      <w:marLeft w:val="0"/>
      <w:marRight w:val="0"/>
      <w:marTop w:val="0"/>
      <w:marBottom w:val="0"/>
      <w:divBdr>
        <w:top w:val="none" w:sz="0" w:space="0" w:color="auto"/>
        <w:left w:val="none" w:sz="0" w:space="0" w:color="auto"/>
        <w:bottom w:val="none" w:sz="0" w:space="0" w:color="auto"/>
        <w:right w:val="none" w:sz="0" w:space="0" w:color="auto"/>
      </w:divBdr>
      <w:divsChild>
        <w:div w:id="1571229274">
          <w:marLeft w:val="0"/>
          <w:marRight w:val="0"/>
          <w:marTop w:val="0"/>
          <w:marBottom w:val="0"/>
          <w:divBdr>
            <w:top w:val="none" w:sz="0" w:space="0" w:color="auto"/>
            <w:left w:val="none" w:sz="0" w:space="0" w:color="auto"/>
            <w:bottom w:val="none" w:sz="0" w:space="0" w:color="auto"/>
            <w:right w:val="none" w:sz="0" w:space="0" w:color="auto"/>
          </w:divBdr>
        </w:div>
      </w:divsChild>
    </w:div>
    <w:div w:id="767698781">
      <w:marLeft w:val="0"/>
      <w:marRight w:val="0"/>
      <w:marTop w:val="0"/>
      <w:marBottom w:val="0"/>
      <w:divBdr>
        <w:top w:val="none" w:sz="0" w:space="0" w:color="auto"/>
        <w:left w:val="none" w:sz="0" w:space="0" w:color="auto"/>
        <w:bottom w:val="none" w:sz="0" w:space="0" w:color="auto"/>
        <w:right w:val="none" w:sz="0" w:space="0" w:color="auto"/>
      </w:divBdr>
      <w:divsChild>
        <w:div w:id="2041124256">
          <w:marLeft w:val="0"/>
          <w:marRight w:val="0"/>
          <w:marTop w:val="0"/>
          <w:marBottom w:val="0"/>
          <w:divBdr>
            <w:top w:val="none" w:sz="0" w:space="0" w:color="auto"/>
            <w:left w:val="none" w:sz="0" w:space="0" w:color="auto"/>
            <w:bottom w:val="none" w:sz="0" w:space="0" w:color="auto"/>
            <w:right w:val="none" w:sz="0" w:space="0" w:color="auto"/>
          </w:divBdr>
        </w:div>
      </w:divsChild>
    </w:div>
    <w:div w:id="871958264">
      <w:marLeft w:val="0"/>
      <w:marRight w:val="0"/>
      <w:marTop w:val="0"/>
      <w:marBottom w:val="0"/>
      <w:divBdr>
        <w:top w:val="none" w:sz="0" w:space="0" w:color="auto"/>
        <w:left w:val="none" w:sz="0" w:space="0" w:color="auto"/>
        <w:bottom w:val="none" w:sz="0" w:space="0" w:color="auto"/>
        <w:right w:val="none" w:sz="0" w:space="0" w:color="auto"/>
      </w:divBdr>
      <w:divsChild>
        <w:div w:id="1326014589">
          <w:marLeft w:val="0"/>
          <w:marRight w:val="0"/>
          <w:marTop w:val="0"/>
          <w:marBottom w:val="0"/>
          <w:divBdr>
            <w:top w:val="none" w:sz="0" w:space="0" w:color="auto"/>
            <w:left w:val="none" w:sz="0" w:space="0" w:color="auto"/>
            <w:bottom w:val="none" w:sz="0" w:space="0" w:color="auto"/>
            <w:right w:val="none" w:sz="0" w:space="0" w:color="auto"/>
          </w:divBdr>
        </w:div>
      </w:divsChild>
    </w:div>
    <w:div w:id="1023896339">
      <w:bodyDiv w:val="1"/>
      <w:marLeft w:val="0"/>
      <w:marRight w:val="0"/>
      <w:marTop w:val="0"/>
      <w:marBottom w:val="0"/>
      <w:divBdr>
        <w:top w:val="none" w:sz="0" w:space="0" w:color="auto"/>
        <w:left w:val="none" w:sz="0" w:space="0" w:color="auto"/>
        <w:bottom w:val="none" w:sz="0" w:space="0" w:color="auto"/>
        <w:right w:val="none" w:sz="0" w:space="0" w:color="auto"/>
      </w:divBdr>
      <w:divsChild>
        <w:div w:id="1609387278">
          <w:marLeft w:val="0"/>
          <w:marRight w:val="0"/>
          <w:marTop w:val="0"/>
          <w:marBottom w:val="0"/>
          <w:divBdr>
            <w:top w:val="none" w:sz="0" w:space="0" w:color="auto"/>
            <w:left w:val="none" w:sz="0" w:space="0" w:color="auto"/>
            <w:bottom w:val="none" w:sz="0" w:space="0" w:color="auto"/>
            <w:right w:val="none" w:sz="0" w:space="0" w:color="auto"/>
          </w:divBdr>
          <w:divsChild>
            <w:div w:id="47822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937985">
      <w:marLeft w:val="0"/>
      <w:marRight w:val="0"/>
      <w:marTop w:val="0"/>
      <w:marBottom w:val="0"/>
      <w:divBdr>
        <w:top w:val="none" w:sz="0" w:space="0" w:color="auto"/>
        <w:left w:val="none" w:sz="0" w:space="0" w:color="auto"/>
        <w:bottom w:val="none" w:sz="0" w:space="0" w:color="auto"/>
        <w:right w:val="none" w:sz="0" w:space="0" w:color="auto"/>
      </w:divBdr>
      <w:divsChild>
        <w:div w:id="1760172222">
          <w:marLeft w:val="0"/>
          <w:marRight w:val="0"/>
          <w:marTop w:val="0"/>
          <w:marBottom w:val="0"/>
          <w:divBdr>
            <w:top w:val="none" w:sz="0" w:space="0" w:color="auto"/>
            <w:left w:val="none" w:sz="0" w:space="0" w:color="auto"/>
            <w:bottom w:val="none" w:sz="0" w:space="0" w:color="auto"/>
            <w:right w:val="none" w:sz="0" w:space="0" w:color="auto"/>
          </w:divBdr>
        </w:div>
      </w:divsChild>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166649">
      <w:marLeft w:val="0"/>
      <w:marRight w:val="0"/>
      <w:marTop w:val="0"/>
      <w:marBottom w:val="0"/>
      <w:divBdr>
        <w:top w:val="none" w:sz="0" w:space="0" w:color="auto"/>
        <w:left w:val="none" w:sz="0" w:space="0" w:color="auto"/>
        <w:bottom w:val="none" w:sz="0" w:space="0" w:color="auto"/>
        <w:right w:val="none" w:sz="0" w:space="0" w:color="auto"/>
      </w:divBdr>
      <w:divsChild>
        <w:div w:id="794911990">
          <w:marLeft w:val="0"/>
          <w:marRight w:val="0"/>
          <w:marTop w:val="0"/>
          <w:marBottom w:val="0"/>
          <w:divBdr>
            <w:top w:val="none" w:sz="0" w:space="0" w:color="auto"/>
            <w:left w:val="none" w:sz="0" w:space="0" w:color="auto"/>
            <w:bottom w:val="none" w:sz="0" w:space="0" w:color="auto"/>
            <w:right w:val="none" w:sz="0" w:space="0" w:color="auto"/>
          </w:divBdr>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7663418">
      <w:marLeft w:val="0"/>
      <w:marRight w:val="0"/>
      <w:marTop w:val="0"/>
      <w:marBottom w:val="0"/>
      <w:divBdr>
        <w:top w:val="none" w:sz="0" w:space="0" w:color="auto"/>
        <w:left w:val="none" w:sz="0" w:space="0" w:color="auto"/>
        <w:bottom w:val="none" w:sz="0" w:space="0" w:color="auto"/>
        <w:right w:val="none" w:sz="0" w:space="0" w:color="auto"/>
      </w:divBdr>
      <w:divsChild>
        <w:div w:id="722096493">
          <w:marLeft w:val="0"/>
          <w:marRight w:val="0"/>
          <w:marTop w:val="0"/>
          <w:marBottom w:val="0"/>
          <w:divBdr>
            <w:top w:val="none" w:sz="0" w:space="0" w:color="auto"/>
            <w:left w:val="none" w:sz="0" w:space="0" w:color="auto"/>
            <w:bottom w:val="none" w:sz="0" w:space="0" w:color="auto"/>
            <w:right w:val="none" w:sz="0" w:space="0" w:color="auto"/>
          </w:divBdr>
        </w:div>
      </w:divsChild>
    </w:div>
    <w:div w:id="1720132949">
      <w:bodyDiv w:val="1"/>
      <w:marLeft w:val="0"/>
      <w:marRight w:val="0"/>
      <w:marTop w:val="0"/>
      <w:marBottom w:val="0"/>
      <w:divBdr>
        <w:top w:val="none" w:sz="0" w:space="0" w:color="auto"/>
        <w:left w:val="none" w:sz="0" w:space="0" w:color="auto"/>
        <w:bottom w:val="none" w:sz="0" w:space="0" w:color="auto"/>
        <w:right w:val="none" w:sz="0" w:space="0" w:color="auto"/>
      </w:divBdr>
      <w:divsChild>
        <w:div w:id="1361080267">
          <w:marLeft w:val="0"/>
          <w:marRight w:val="0"/>
          <w:marTop w:val="0"/>
          <w:marBottom w:val="0"/>
          <w:divBdr>
            <w:top w:val="none" w:sz="0" w:space="0" w:color="auto"/>
            <w:left w:val="none" w:sz="0" w:space="0" w:color="auto"/>
            <w:bottom w:val="none" w:sz="0" w:space="0" w:color="auto"/>
            <w:right w:val="none" w:sz="0" w:space="0" w:color="auto"/>
          </w:divBdr>
          <w:divsChild>
            <w:div w:id="194276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024579">
      <w:marLeft w:val="0"/>
      <w:marRight w:val="0"/>
      <w:marTop w:val="0"/>
      <w:marBottom w:val="0"/>
      <w:divBdr>
        <w:top w:val="none" w:sz="0" w:space="0" w:color="auto"/>
        <w:left w:val="none" w:sz="0" w:space="0" w:color="auto"/>
        <w:bottom w:val="none" w:sz="0" w:space="0" w:color="auto"/>
        <w:right w:val="none" w:sz="0" w:space="0" w:color="auto"/>
      </w:divBdr>
      <w:divsChild>
        <w:div w:id="1599217125">
          <w:marLeft w:val="0"/>
          <w:marRight w:val="0"/>
          <w:marTop w:val="0"/>
          <w:marBottom w:val="0"/>
          <w:divBdr>
            <w:top w:val="none" w:sz="0" w:space="0" w:color="auto"/>
            <w:left w:val="none" w:sz="0" w:space="0" w:color="auto"/>
            <w:bottom w:val="none" w:sz="0" w:space="0" w:color="auto"/>
            <w:right w:val="none" w:sz="0" w:space="0" w:color="auto"/>
          </w:divBdr>
        </w:div>
      </w:divsChild>
    </w:div>
    <w:div w:id="1798178838">
      <w:marLeft w:val="0"/>
      <w:marRight w:val="0"/>
      <w:marTop w:val="0"/>
      <w:marBottom w:val="0"/>
      <w:divBdr>
        <w:top w:val="none" w:sz="0" w:space="0" w:color="auto"/>
        <w:left w:val="none" w:sz="0" w:space="0" w:color="auto"/>
        <w:bottom w:val="none" w:sz="0" w:space="0" w:color="auto"/>
        <w:right w:val="none" w:sz="0" w:space="0" w:color="auto"/>
      </w:divBdr>
      <w:divsChild>
        <w:div w:id="30421308">
          <w:marLeft w:val="0"/>
          <w:marRight w:val="0"/>
          <w:marTop w:val="0"/>
          <w:marBottom w:val="0"/>
          <w:divBdr>
            <w:top w:val="none" w:sz="0" w:space="0" w:color="auto"/>
            <w:left w:val="none" w:sz="0" w:space="0" w:color="auto"/>
            <w:bottom w:val="none" w:sz="0" w:space="0" w:color="auto"/>
            <w:right w:val="none" w:sz="0" w:space="0" w:color="auto"/>
          </w:divBdr>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6190916">
      <w:marLeft w:val="0"/>
      <w:marRight w:val="0"/>
      <w:marTop w:val="0"/>
      <w:marBottom w:val="0"/>
      <w:divBdr>
        <w:top w:val="none" w:sz="0" w:space="0" w:color="auto"/>
        <w:left w:val="none" w:sz="0" w:space="0" w:color="auto"/>
        <w:bottom w:val="none" w:sz="0" w:space="0" w:color="auto"/>
        <w:right w:val="none" w:sz="0" w:space="0" w:color="auto"/>
      </w:divBdr>
      <w:divsChild>
        <w:div w:id="1714187795">
          <w:marLeft w:val="0"/>
          <w:marRight w:val="0"/>
          <w:marTop w:val="0"/>
          <w:marBottom w:val="0"/>
          <w:divBdr>
            <w:top w:val="none" w:sz="0" w:space="0" w:color="auto"/>
            <w:left w:val="none" w:sz="0" w:space="0" w:color="auto"/>
            <w:bottom w:val="none" w:sz="0" w:space="0" w:color="auto"/>
            <w:right w:val="none" w:sz="0" w:space="0" w:color="auto"/>
          </w:divBdr>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5828527">
      <w:marLeft w:val="0"/>
      <w:marRight w:val="0"/>
      <w:marTop w:val="0"/>
      <w:marBottom w:val="0"/>
      <w:divBdr>
        <w:top w:val="none" w:sz="0" w:space="0" w:color="auto"/>
        <w:left w:val="none" w:sz="0" w:space="0" w:color="auto"/>
        <w:bottom w:val="none" w:sz="0" w:space="0" w:color="auto"/>
        <w:right w:val="none" w:sz="0" w:space="0" w:color="auto"/>
      </w:divBdr>
      <w:divsChild>
        <w:div w:id="450322148">
          <w:marLeft w:val="0"/>
          <w:marRight w:val="0"/>
          <w:marTop w:val="0"/>
          <w:marBottom w:val="0"/>
          <w:divBdr>
            <w:top w:val="none" w:sz="0" w:space="0" w:color="auto"/>
            <w:left w:val="none" w:sz="0" w:space="0" w:color="auto"/>
            <w:bottom w:val="none" w:sz="0" w:space="0" w:color="auto"/>
            <w:right w:val="none" w:sz="0" w:space="0" w:color="auto"/>
          </w:divBdr>
        </w:div>
      </w:divsChild>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cp:revision>
  <cp:lastPrinted>2019-02-25T14:05:00Z</cp:lastPrinted>
  <dcterms:created xsi:type="dcterms:W3CDTF">2026-01-30T21:16:00Z</dcterms:created>
  <dcterms:modified xsi:type="dcterms:W3CDTF">2026-01-30T21:17:00Z</dcterms:modified>
  <cp:category/>
</cp:coreProperties>
</file>